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F4C9" w14:textId="10842AED" w:rsidR="008B733A" w:rsidRPr="008B733A" w:rsidRDefault="008B733A" w:rsidP="008B733A">
      <w:pPr>
        <w:tabs>
          <w:tab w:val="center" w:pos="4680"/>
          <w:tab w:val="right" w:pos="9360"/>
        </w:tabs>
        <w:jc w:val="center"/>
        <w:rPr>
          <w:rFonts w:ascii="Times New Roman" w:hAnsi="Times New Roman" w:cs="Times New Roman"/>
          <w:sz w:val="40"/>
          <w:szCs w:val="40"/>
        </w:rPr>
      </w:pPr>
      <w:r w:rsidRPr="008B733A">
        <w:rPr>
          <w:rFonts w:ascii="Times New Roman" w:hAnsi="Times New Roman" w:cs="Times New Roman"/>
          <w:sz w:val="40"/>
          <w:szCs w:val="40"/>
        </w:rPr>
        <w:t xml:space="preserve">Quarterly Earnings Call Notes – </w:t>
      </w:r>
      <w:r w:rsidRPr="00F71615">
        <w:rPr>
          <w:rFonts w:ascii="Times New Roman" w:hAnsi="Times New Roman" w:cs="Times New Roman"/>
          <w:sz w:val="40"/>
          <w:szCs w:val="40"/>
        </w:rPr>
        <w:t>Q</w:t>
      </w:r>
      <w:r w:rsidR="00465DD0">
        <w:rPr>
          <w:rFonts w:ascii="Times New Roman" w:hAnsi="Times New Roman" w:cs="Times New Roman"/>
          <w:sz w:val="40"/>
          <w:szCs w:val="40"/>
        </w:rPr>
        <w:t>3</w:t>
      </w:r>
      <w:r w:rsidRPr="00F71615">
        <w:rPr>
          <w:rFonts w:ascii="Times New Roman" w:hAnsi="Times New Roman" w:cs="Times New Roman"/>
          <w:sz w:val="40"/>
          <w:szCs w:val="40"/>
        </w:rPr>
        <w:t xml:space="preserve"> 202</w:t>
      </w:r>
      <w:r w:rsidR="00F71615" w:rsidRPr="00F71615">
        <w:rPr>
          <w:rFonts w:ascii="Times New Roman" w:hAnsi="Times New Roman" w:cs="Times New Roman"/>
          <w:sz w:val="40"/>
          <w:szCs w:val="40"/>
        </w:rPr>
        <w:t>5</w:t>
      </w:r>
    </w:p>
    <w:p w14:paraId="65669D9B" w14:textId="77777777" w:rsidR="008B733A" w:rsidRPr="008B733A" w:rsidRDefault="008B733A" w:rsidP="008B733A">
      <w:pPr>
        <w:tabs>
          <w:tab w:val="center" w:pos="4680"/>
          <w:tab w:val="right" w:pos="9360"/>
        </w:tabs>
        <w:jc w:val="center"/>
        <w:rPr>
          <w:rFonts w:ascii="Times New Roman" w:hAnsi="Times New Roman" w:cs="Times New Roman"/>
          <w:sz w:val="40"/>
          <w:szCs w:val="40"/>
        </w:rPr>
      </w:pPr>
      <w:r w:rsidRPr="008B733A">
        <w:rPr>
          <w:rFonts w:ascii="Times New Roman" w:hAnsi="Times New Roman" w:cs="Times New Roman"/>
          <w:sz w:val="40"/>
          <w:szCs w:val="40"/>
        </w:rPr>
        <w:t>Alabama Business Intelligence Center</w:t>
      </w:r>
    </w:p>
    <w:p w14:paraId="2CB9344D" w14:textId="77777777" w:rsidR="008B733A" w:rsidRPr="008B733A" w:rsidRDefault="008B733A" w:rsidP="008B733A">
      <w:pPr>
        <w:rPr>
          <w:rFonts w:ascii="Times New Roman" w:hAnsi="Times New Roman" w:cs="Times New Roman"/>
        </w:rPr>
      </w:pPr>
    </w:p>
    <w:p w14:paraId="58184484" w14:textId="2D6B9B72" w:rsidR="008B733A" w:rsidRPr="008B733A" w:rsidRDefault="008B733A" w:rsidP="008B733A">
      <w:pPr>
        <w:rPr>
          <w:rFonts w:ascii="Times New Roman" w:hAnsi="Times New Roman" w:cs="Times New Roman"/>
          <w:sz w:val="20"/>
          <w:szCs w:val="20"/>
        </w:rPr>
      </w:pPr>
      <w:r w:rsidRPr="008B733A">
        <w:rPr>
          <w:rFonts w:ascii="Times New Roman" w:hAnsi="Times New Roman" w:cs="Times New Roman"/>
          <w:sz w:val="20"/>
          <w:szCs w:val="20"/>
        </w:rPr>
        <w:t xml:space="preserve">Note: Quarterly Review encompasses a review of quarterly filings and earnings calls. These earnings call notes are in reference to company results for </w:t>
      </w:r>
      <w:r w:rsidRPr="00BC0D8E">
        <w:rPr>
          <w:rFonts w:ascii="Times New Roman" w:hAnsi="Times New Roman" w:cs="Times New Roman"/>
          <w:sz w:val="20"/>
          <w:szCs w:val="20"/>
        </w:rPr>
        <w:t>Q</w:t>
      </w:r>
      <w:r w:rsidR="00465DD0">
        <w:rPr>
          <w:rFonts w:ascii="Times New Roman" w:hAnsi="Times New Roman" w:cs="Times New Roman"/>
          <w:sz w:val="20"/>
          <w:szCs w:val="20"/>
        </w:rPr>
        <w:t>2</w:t>
      </w:r>
      <w:r w:rsidRPr="00BC0D8E">
        <w:rPr>
          <w:rFonts w:ascii="Times New Roman" w:hAnsi="Times New Roman" w:cs="Times New Roman"/>
          <w:sz w:val="20"/>
          <w:szCs w:val="20"/>
        </w:rPr>
        <w:t xml:space="preserve"> 202</w:t>
      </w:r>
      <w:r w:rsidR="002D66B0">
        <w:rPr>
          <w:rFonts w:ascii="Times New Roman" w:hAnsi="Times New Roman" w:cs="Times New Roman"/>
          <w:sz w:val="20"/>
          <w:szCs w:val="20"/>
        </w:rPr>
        <w:t>5</w:t>
      </w:r>
      <w:r w:rsidRPr="00BC0D8E">
        <w:rPr>
          <w:rFonts w:ascii="Times New Roman" w:hAnsi="Times New Roman" w:cs="Times New Roman"/>
          <w:sz w:val="20"/>
          <w:szCs w:val="20"/>
        </w:rPr>
        <w:t xml:space="preserve"> (</w:t>
      </w:r>
      <w:r w:rsidR="00465DD0">
        <w:rPr>
          <w:rFonts w:ascii="Times New Roman" w:hAnsi="Times New Roman" w:cs="Times New Roman"/>
          <w:sz w:val="20"/>
          <w:szCs w:val="20"/>
        </w:rPr>
        <w:t>April to June</w:t>
      </w:r>
      <w:r w:rsidRPr="00BC0D8E">
        <w:rPr>
          <w:rFonts w:ascii="Times New Roman" w:hAnsi="Times New Roman" w:cs="Times New Roman"/>
          <w:sz w:val="20"/>
          <w:szCs w:val="20"/>
        </w:rPr>
        <w:t xml:space="preserve"> 202</w:t>
      </w:r>
      <w:r w:rsidR="00BC0D8E" w:rsidRPr="00BC0D8E">
        <w:rPr>
          <w:rFonts w:ascii="Times New Roman" w:hAnsi="Times New Roman" w:cs="Times New Roman"/>
          <w:sz w:val="20"/>
          <w:szCs w:val="20"/>
        </w:rPr>
        <w:t>5</w:t>
      </w:r>
      <w:r w:rsidRPr="00BC0D8E">
        <w:rPr>
          <w:rFonts w:ascii="Times New Roman" w:hAnsi="Times New Roman" w:cs="Times New Roman"/>
          <w:sz w:val="20"/>
          <w:szCs w:val="20"/>
        </w:rPr>
        <w:t>)</w:t>
      </w:r>
      <w:r w:rsidRPr="008B733A">
        <w:rPr>
          <w:rFonts w:ascii="Times New Roman" w:hAnsi="Times New Roman" w:cs="Times New Roman"/>
          <w:sz w:val="20"/>
          <w:szCs w:val="20"/>
        </w:rPr>
        <w:t xml:space="preserve">. These calls were recorded during </w:t>
      </w:r>
      <w:r w:rsidRPr="00BC0D8E">
        <w:rPr>
          <w:rFonts w:ascii="Times New Roman" w:hAnsi="Times New Roman" w:cs="Times New Roman"/>
          <w:sz w:val="20"/>
          <w:szCs w:val="20"/>
        </w:rPr>
        <w:t>Q</w:t>
      </w:r>
      <w:r w:rsidR="00465DD0">
        <w:rPr>
          <w:rFonts w:ascii="Times New Roman" w:hAnsi="Times New Roman" w:cs="Times New Roman"/>
          <w:sz w:val="20"/>
          <w:szCs w:val="20"/>
        </w:rPr>
        <w:t>3</w:t>
      </w:r>
      <w:r w:rsidR="002D66B0">
        <w:rPr>
          <w:rFonts w:ascii="Times New Roman" w:hAnsi="Times New Roman" w:cs="Times New Roman"/>
          <w:sz w:val="20"/>
          <w:szCs w:val="20"/>
        </w:rPr>
        <w:t xml:space="preserve"> 2</w:t>
      </w:r>
      <w:r w:rsidRPr="00BC0D8E">
        <w:rPr>
          <w:rFonts w:ascii="Times New Roman" w:hAnsi="Times New Roman" w:cs="Times New Roman"/>
          <w:sz w:val="20"/>
          <w:szCs w:val="20"/>
        </w:rPr>
        <w:t>02</w:t>
      </w:r>
      <w:r w:rsidR="00BC0D8E" w:rsidRPr="00BC0D8E">
        <w:rPr>
          <w:rFonts w:ascii="Times New Roman" w:hAnsi="Times New Roman" w:cs="Times New Roman"/>
          <w:sz w:val="20"/>
          <w:szCs w:val="20"/>
        </w:rPr>
        <w:t>5</w:t>
      </w:r>
      <w:r w:rsidRPr="00BC0D8E">
        <w:rPr>
          <w:rFonts w:ascii="Times New Roman" w:hAnsi="Times New Roman" w:cs="Times New Roman"/>
          <w:sz w:val="20"/>
          <w:szCs w:val="20"/>
        </w:rPr>
        <w:t xml:space="preserve"> (</w:t>
      </w:r>
      <w:r w:rsidR="00465DD0">
        <w:rPr>
          <w:rFonts w:ascii="Times New Roman" w:hAnsi="Times New Roman" w:cs="Times New Roman"/>
          <w:sz w:val="20"/>
          <w:szCs w:val="20"/>
        </w:rPr>
        <w:t xml:space="preserve">July </w:t>
      </w:r>
      <w:r w:rsidRPr="00BC0D8E">
        <w:rPr>
          <w:rFonts w:ascii="Times New Roman" w:hAnsi="Times New Roman" w:cs="Times New Roman"/>
          <w:sz w:val="20"/>
          <w:szCs w:val="20"/>
        </w:rPr>
        <w:t xml:space="preserve">to </w:t>
      </w:r>
      <w:r w:rsidR="00465DD0">
        <w:rPr>
          <w:rFonts w:ascii="Times New Roman" w:hAnsi="Times New Roman" w:cs="Times New Roman"/>
          <w:sz w:val="20"/>
          <w:szCs w:val="20"/>
        </w:rPr>
        <w:t xml:space="preserve">September </w:t>
      </w:r>
      <w:r w:rsidRPr="00BC0D8E">
        <w:rPr>
          <w:rFonts w:ascii="Times New Roman" w:hAnsi="Times New Roman" w:cs="Times New Roman"/>
          <w:sz w:val="20"/>
          <w:szCs w:val="20"/>
        </w:rPr>
        <w:t>202</w:t>
      </w:r>
      <w:r w:rsidR="00BC0D8E" w:rsidRPr="00BC0D8E">
        <w:rPr>
          <w:rFonts w:ascii="Times New Roman" w:hAnsi="Times New Roman" w:cs="Times New Roman"/>
          <w:sz w:val="20"/>
          <w:szCs w:val="20"/>
        </w:rPr>
        <w:t>5</w:t>
      </w:r>
      <w:r w:rsidR="00BC0D8E">
        <w:rPr>
          <w:rFonts w:ascii="Times New Roman" w:hAnsi="Times New Roman" w:cs="Times New Roman"/>
          <w:sz w:val="20"/>
          <w:szCs w:val="20"/>
        </w:rPr>
        <w:t>)</w:t>
      </w:r>
      <w:r w:rsidRPr="008B733A">
        <w:rPr>
          <w:rFonts w:ascii="Times New Roman" w:hAnsi="Times New Roman" w:cs="Times New Roman"/>
          <w:sz w:val="20"/>
          <w:szCs w:val="20"/>
        </w:rPr>
        <w:t>. Additional Notes encompasses news alerts for additional companies monitored.</w:t>
      </w:r>
    </w:p>
    <w:p w14:paraId="0B61D40A" w14:textId="77777777" w:rsidR="00ED2AC4" w:rsidRDefault="00ED2AC4">
      <w:pPr>
        <w:pStyle w:val="TOCHeading"/>
        <w:sectPr w:rsidR="00ED2AC4">
          <w:headerReference w:type="default" r:id="rId11"/>
          <w:footerReference w:type="default" r:id="rId12"/>
          <w:pgSz w:w="12240" w:h="15840"/>
          <w:pgMar w:top="1440" w:right="1440" w:bottom="1440" w:left="1440" w:header="720" w:footer="720" w:gutter="0"/>
          <w:cols w:space="720"/>
          <w:docGrid w:linePitch="360"/>
        </w:sectPr>
      </w:pPr>
    </w:p>
    <w:sdt>
      <w:sdtPr>
        <w:rPr>
          <w:rFonts w:asciiTheme="minorHAnsi" w:eastAsiaTheme="minorEastAsia" w:hAnsiTheme="minorHAnsi" w:cstheme="minorBidi"/>
          <w:color w:val="auto"/>
          <w:kern w:val="2"/>
          <w:sz w:val="22"/>
          <w:szCs w:val="22"/>
          <w14:ligatures w14:val="standardContextual"/>
        </w:rPr>
        <w:id w:val="1373355358"/>
        <w:docPartObj>
          <w:docPartGallery w:val="Table of Contents"/>
          <w:docPartUnique/>
        </w:docPartObj>
      </w:sdtPr>
      <w:sdtEndPr/>
      <w:sdtContent>
        <w:p w14:paraId="4D4DBE6A" w14:textId="77777777" w:rsidR="009D217B" w:rsidRDefault="009D217B">
          <w:pPr>
            <w:pStyle w:val="TOCHeading"/>
            <w:sectPr w:rsidR="009D217B" w:rsidSect="00ED2AC4">
              <w:type w:val="continuous"/>
              <w:pgSz w:w="12240" w:h="15840"/>
              <w:pgMar w:top="1440" w:right="1440" w:bottom="1440" w:left="1440" w:header="720" w:footer="720" w:gutter="0"/>
              <w:cols w:space="720"/>
              <w:docGrid w:linePitch="360"/>
            </w:sectPr>
          </w:pPr>
        </w:p>
        <w:p w14:paraId="2EC2906B" w14:textId="40889A48" w:rsidR="00986620" w:rsidRDefault="795A5A2F" w:rsidP="00B30AC9">
          <w:pPr>
            <w:pStyle w:val="TOCHeading"/>
            <w:spacing w:before="0"/>
            <w:rPr>
              <w:rFonts w:ascii="Times New Roman" w:hAnsi="Times New Roman" w:cs="Times New Roman"/>
            </w:rPr>
          </w:pPr>
          <w:r w:rsidRPr="2535092B">
            <w:rPr>
              <w:rFonts w:ascii="Times New Roman" w:hAnsi="Times New Roman" w:cs="Times New Roman"/>
            </w:rPr>
            <w:t>Table of Contents</w:t>
          </w:r>
        </w:p>
        <w:p w14:paraId="442AB150" w14:textId="221233A4" w:rsidR="00E14E3F" w:rsidRDefault="00A72B2A">
          <w:pPr>
            <w:pStyle w:val="TOC2"/>
            <w:rPr>
              <w:rFonts w:eastAsiaTheme="minorEastAsia"/>
              <w:noProof/>
              <w:sz w:val="24"/>
              <w:szCs w:val="24"/>
            </w:rPr>
          </w:pPr>
          <w:r>
            <w:fldChar w:fldCharType="begin"/>
          </w:r>
          <w:r>
            <w:instrText>TOC \o "1-3" \z \u \h</w:instrText>
          </w:r>
          <w:r>
            <w:fldChar w:fldCharType="separate"/>
          </w:r>
          <w:hyperlink w:anchor="_Toc212796728" w:history="1">
            <w:r w:rsidR="00E14E3F" w:rsidRPr="00BF36E8">
              <w:rPr>
                <w:rStyle w:val="Hyperlink"/>
                <w:rFonts w:cs="Times New Roman"/>
                <w:noProof/>
              </w:rPr>
              <w:t>3M Company (NYSE:MMM)</w:t>
            </w:r>
            <w:r w:rsidR="00E14E3F">
              <w:rPr>
                <w:noProof/>
                <w:webHidden/>
              </w:rPr>
              <w:tab/>
            </w:r>
            <w:r w:rsidR="00E14E3F">
              <w:rPr>
                <w:noProof/>
                <w:webHidden/>
              </w:rPr>
              <w:fldChar w:fldCharType="begin"/>
            </w:r>
            <w:r w:rsidR="00E14E3F">
              <w:rPr>
                <w:noProof/>
                <w:webHidden/>
              </w:rPr>
              <w:instrText xml:space="preserve"> PAGEREF _Toc212796728 \h </w:instrText>
            </w:r>
            <w:r w:rsidR="00E14E3F">
              <w:rPr>
                <w:noProof/>
                <w:webHidden/>
              </w:rPr>
            </w:r>
            <w:r w:rsidR="00E14E3F">
              <w:rPr>
                <w:noProof/>
                <w:webHidden/>
              </w:rPr>
              <w:fldChar w:fldCharType="separate"/>
            </w:r>
            <w:r w:rsidR="00E14E3F">
              <w:rPr>
                <w:noProof/>
                <w:webHidden/>
              </w:rPr>
              <w:t>8</w:t>
            </w:r>
            <w:r w:rsidR="00E14E3F">
              <w:rPr>
                <w:noProof/>
                <w:webHidden/>
              </w:rPr>
              <w:fldChar w:fldCharType="end"/>
            </w:r>
          </w:hyperlink>
        </w:p>
        <w:p w14:paraId="34E12AA5" w14:textId="3EFA8AE7" w:rsidR="00E14E3F" w:rsidRDefault="00E14E3F">
          <w:pPr>
            <w:pStyle w:val="TOC3"/>
            <w:tabs>
              <w:tab w:val="right" w:leader="dot" w:pos="9350"/>
            </w:tabs>
            <w:rPr>
              <w:rFonts w:eastAsiaTheme="minorEastAsia"/>
              <w:noProof/>
              <w:sz w:val="24"/>
              <w:szCs w:val="24"/>
            </w:rPr>
          </w:pPr>
          <w:hyperlink w:anchor="_Toc212796729"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_Toc212796729 \h </w:instrText>
            </w:r>
            <w:r>
              <w:rPr>
                <w:noProof/>
                <w:webHidden/>
              </w:rPr>
            </w:r>
            <w:r>
              <w:rPr>
                <w:noProof/>
                <w:webHidden/>
              </w:rPr>
              <w:fldChar w:fldCharType="separate"/>
            </w:r>
            <w:r>
              <w:rPr>
                <w:noProof/>
                <w:webHidden/>
              </w:rPr>
              <w:t>8</w:t>
            </w:r>
            <w:r>
              <w:rPr>
                <w:noProof/>
                <w:webHidden/>
              </w:rPr>
              <w:fldChar w:fldCharType="end"/>
            </w:r>
          </w:hyperlink>
        </w:p>
        <w:p w14:paraId="3D2DDAF3" w14:textId="66B62424" w:rsidR="00E14E3F" w:rsidRDefault="00E14E3F">
          <w:pPr>
            <w:pStyle w:val="TOC3"/>
            <w:tabs>
              <w:tab w:val="right" w:leader="dot" w:pos="9350"/>
            </w:tabs>
            <w:rPr>
              <w:rFonts w:eastAsiaTheme="minorEastAsia"/>
              <w:noProof/>
              <w:sz w:val="24"/>
              <w:szCs w:val="24"/>
            </w:rPr>
          </w:pPr>
          <w:hyperlink w:anchor="_Toc212796730"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_Toc212796730 \h </w:instrText>
            </w:r>
            <w:r>
              <w:rPr>
                <w:noProof/>
                <w:webHidden/>
              </w:rPr>
            </w:r>
            <w:r>
              <w:rPr>
                <w:noProof/>
                <w:webHidden/>
              </w:rPr>
              <w:fldChar w:fldCharType="separate"/>
            </w:r>
            <w:r>
              <w:rPr>
                <w:noProof/>
                <w:webHidden/>
              </w:rPr>
              <w:t>8</w:t>
            </w:r>
            <w:r>
              <w:rPr>
                <w:noProof/>
                <w:webHidden/>
              </w:rPr>
              <w:fldChar w:fldCharType="end"/>
            </w:r>
          </w:hyperlink>
        </w:p>
        <w:p w14:paraId="23358268" w14:textId="204A2B28" w:rsidR="00E14E3F" w:rsidRDefault="00E14E3F">
          <w:pPr>
            <w:pStyle w:val="TOC2"/>
            <w:rPr>
              <w:rFonts w:eastAsiaTheme="minorEastAsia"/>
              <w:noProof/>
              <w:sz w:val="24"/>
              <w:szCs w:val="24"/>
            </w:rPr>
          </w:pPr>
          <w:hyperlink w:anchor="_Toc212796731" w:history="1">
            <w:r w:rsidRPr="00BF36E8">
              <w:rPr>
                <w:rStyle w:val="Hyperlink"/>
                <w:rFonts w:cs="Times New Roman"/>
                <w:noProof/>
              </w:rPr>
              <w:t>Airbus SE (ENXTPA:AIR)</w:t>
            </w:r>
            <w:r>
              <w:rPr>
                <w:noProof/>
                <w:webHidden/>
              </w:rPr>
              <w:tab/>
            </w:r>
            <w:r>
              <w:rPr>
                <w:noProof/>
                <w:webHidden/>
              </w:rPr>
              <w:fldChar w:fldCharType="begin"/>
            </w:r>
            <w:r>
              <w:rPr>
                <w:noProof/>
                <w:webHidden/>
              </w:rPr>
              <w:instrText xml:space="preserve"> PAGEREF _Toc212796731 \h </w:instrText>
            </w:r>
            <w:r>
              <w:rPr>
                <w:noProof/>
                <w:webHidden/>
              </w:rPr>
            </w:r>
            <w:r>
              <w:rPr>
                <w:noProof/>
                <w:webHidden/>
              </w:rPr>
              <w:fldChar w:fldCharType="separate"/>
            </w:r>
            <w:r>
              <w:rPr>
                <w:noProof/>
                <w:webHidden/>
              </w:rPr>
              <w:t>10</w:t>
            </w:r>
            <w:r>
              <w:rPr>
                <w:noProof/>
                <w:webHidden/>
              </w:rPr>
              <w:fldChar w:fldCharType="end"/>
            </w:r>
          </w:hyperlink>
        </w:p>
        <w:p w14:paraId="56D8995C" w14:textId="6AC26E6D" w:rsidR="00E14E3F" w:rsidRDefault="00E14E3F">
          <w:pPr>
            <w:pStyle w:val="TOC3"/>
            <w:tabs>
              <w:tab w:val="right" w:leader="dot" w:pos="9350"/>
            </w:tabs>
            <w:rPr>
              <w:rFonts w:eastAsiaTheme="minorEastAsia"/>
              <w:noProof/>
              <w:sz w:val="24"/>
              <w:szCs w:val="24"/>
            </w:rPr>
          </w:pPr>
          <w:hyperlink w:anchor="_Toc212796732" w:history="1">
            <w:r w:rsidRPr="00BF36E8">
              <w:rPr>
                <w:rStyle w:val="Hyperlink"/>
                <w:rFonts w:cs="Times New Roman"/>
                <w:noProof/>
              </w:rPr>
              <w:t xml:space="preserve">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_Toc212796732 \h </w:instrText>
            </w:r>
            <w:r>
              <w:rPr>
                <w:noProof/>
                <w:webHidden/>
              </w:rPr>
            </w:r>
            <w:r>
              <w:rPr>
                <w:noProof/>
                <w:webHidden/>
              </w:rPr>
              <w:fldChar w:fldCharType="separate"/>
            </w:r>
            <w:r>
              <w:rPr>
                <w:noProof/>
                <w:webHidden/>
              </w:rPr>
              <w:t>10</w:t>
            </w:r>
            <w:r>
              <w:rPr>
                <w:noProof/>
                <w:webHidden/>
              </w:rPr>
              <w:fldChar w:fldCharType="end"/>
            </w:r>
          </w:hyperlink>
        </w:p>
        <w:p w14:paraId="4E80467F" w14:textId="3EE28E0F" w:rsidR="00E14E3F" w:rsidRDefault="00E14E3F">
          <w:pPr>
            <w:pStyle w:val="TOC3"/>
            <w:tabs>
              <w:tab w:val="right" w:leader="dot" w:pos="9350"/>
            </w:tabs>
            <w:rPr>
              <w:rFonts w:eastAsiaTheme="minorEastAsia"/>
              <w:noProof/>
              <w:sz w:val="24"/>
              <w:szCs w:val="24"/>
            </w:rPr>
          </w:pPr>
          <w:hyperlink w:anchor="_Toc212796733"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_Toc212796733 \h </w:instrText>
            </w:r>
            <w:r>
              <w:rPr>
                <w:noProof/>
                <w:webHidden/>
              </w:rPr>
            </w:r>
            <w:r>
              <w:rPr>
                <w:noProof/>
                <w:webHidden/>
              </w:rPr>
              <w:fldChar w:fldCharType="separate"/>
            </w:r>
            <w:r>
              <w:rPr>
                <w:noProof/>
                <w:webHidden/>
              </w:rPr>
              <w:t>10</w:t>
            </w:r>
            <w:r>
              <w:rPr>
                <w:noProof/>
                <w:webHidden/>
              </w:rPr>
              <w:fldChar w:fldCharType="end"/>
            </w:r>
          </w:hyperlink>
        </w:p>
        <w:p w14:paraId="2A1D5B71" w14:textId="4268F6E6" w:rsidR="00E14E3F" w:rsidRDefault="00E14E3F">
          <w:pPr>
            <w:pStyle w:val="TOC2"/>
            <w:rPr>
              <w:rFonts w:eastAsiaTheme="minorEastAsia"/>
              <w:noProof/>
              <w:sz w:val="24"/>
              <w:szCs w:val="24"/>
            </w:rPr>
          </w:pPr>
          <w:hyperlink w:anchor="_Toc212796734" w:history="1">
            <w:r w:rsidRPr="00BF36E8">
              <w:rPr>
                <w:rStyle w:val="Hyperlink"/>
                <w:rFonts w:cs="Times New Roman"/>
                <w:noProof/>
              </w:rPr>
              <w:t>Boeing Co. (NYSE:BA)</w:t>
            </w:r>
            <w:r>
              <w:rPr>
                <w:noProof/>
                <w:webHidden/>
              </w:rPr>
              <w:tab/>
            </w:r>
            <w:r>
              <w:rPr>
                <w:noProof/>
                <w:webHidden/>
              </w:rPr>
              <w:fldChar w:fldCharType="begin"/>
            </w:r>
            <w:r>
              <w:rPr>
                <w:noProof/>
                <w:webHidden/>
              </w:rPr>
              <w:instrText xml:space="preserve"> PAGEREF _Toc212796734 \h </w:instrText>
            </w:r>
            <w:r>
              <w:rPr>
                <w:noProof/>
                <w:webHidden/>
              </w:rPr>
            </w:r>
            <w:r>
              <w:rPr>
                <w:noProof/>
                <w:webHidden/>
              </w:rPr>
              <w:fldChar w:fldCharType="separate"/>
            </w:r>
            <w:r>
              <w:rPr>
                <w:noProof/>
                <w:webHidden/>
              </w:rPr>
              <w:t>13</w:t>
            </w:r>
            <w:r>
              <w:rPr>
                <w:noProof/>
                <w:webHidden/>
              </w:rPr>
              <w:fldChar w:fldCharType="end"/>
            </w:r>
          </w:hyperlink>
        </w:p>
        <w:p w14:paraId="4349C7B5" w14:textId="2E0BBF59" w:rsidR="00E14E3F" w:rsidRDefault="00E14E3F">
          <w:pPr>
            <w:pStyle w:val="TOC3"/>
            <w:tabs>
              <w:tab w:val="right" w:leader="dot" w:pos="9350"/>
            </w:tabs>
            <w:rPr>
              <w:rFonts w:eastAsiaTheme="minorEastAsia"/>
              <w:noProof/>
              <w:sz w:val="24"/>
              <w:szCs w:val="24"/>
            </w:rPr>
          </w:pPr>
          <w:hyperlink w:anchor="_Toc212796735"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_Toc212796735 \h </w:instrText>
            </w:r>
            <w:r>
              <w:rPr>
                <w:noProof/>
                <w:webHidden/>
              </w:rPr>
            </w:r>
            <w:r>
              <w:rPr>
                <w:noProof/>
                <w:webHidden/>
              </w:rPr>
              <w:fldChar w:fldCharType="separate"/>
            </w:r>
            <w:r>
              <w:rPr>
                <w:noProof/>
                <w:webHidden/>
              </w:rPr>
              <w:t>13</w:t>
            </w:r>
            <w:r>
              <w:rPr>
                <w:noProof/>
                <w:webHidden/>
              </w:rPr>
              <w:fldChar w:fldCharType="end"/>
            </w:r>
          </w:hyperlink>
        </w:p>
        <w:p w14:paraId="007F3370" w14:textId="2715FD25" w:rsidR="00E14E3F" w:rsidRDefault="00E14E3F">
          <w:pPr>
            <w:pStyle w:val="TOC3"/>
            <w:tabs>
              <w:tab w:val="right" w:leader="dot" w:pos="9350"/>
            </w:tabs>
            <w:rPr>
              <w:rFonts w:eastAsiaTheme="minorEastAsia"/>
              <w:noProof/>
              <w:sz w:val="24"/>
              <w:szCs w:val="24"/>
            </w:rPr>
          </w:pPr>
          <w:hyperlink w:anchor="_Toc212796736"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_Toc212796736 \h </w:instrText>
            </w:r>
            <w:r>
              <w:rPr>
                <w:noProof/>
                <w:webHidden/>
              </w:rPr>
            </w:r>
            <w:r>
              <w:rPr>
                <w:noProof/>
                <w:webHidden/>
              </w:rPr>
              <w:fldChar w:fldCharType="separate"/>
            </w:r>
            <w:r>
              <w:rPr>
                <w:noProof/>
                <w:webHidden/>
              </w:rPr>
              <w:t>13</w:t>
            </w:r>
            <w:r>
              <w:rPr>
                <w:noProof/>
                <w:webHidden/>
              </w:rPr>
              <w:fldChar w:fldCharType="end"/>
            </w:r>
          </w:hyperlink>
        </w:p>
        <w:p w14:paraId="2AE50A82" w14:textId="5A7AB5B5" w:rsidR="00E14E3F" w:rsidRDefault="00E14E3F">
          <w:pPr>
            <w:pStyle w:val="TOC2"/>
            <w:rPr>
              <w:rFonts w:eastAsiaTheme="minorEastAsia"/>
              <w:noProof/>
              <w:sz w:val="24"/>
              <w:szCs w:val="24"/>
            </w:rPr>
          </w:pPr>
          <w:hyperlink w:anchor="_Toc212796737" w:history="1">
            <w:r w:rsidRPr="00BF36E8">
              <w:rPr>
                <w:rStyle w:val="Hyperlink"/>
                <w:rFonts w:cs="Times New Roman"/>
                <w:noProof/>
              </w:rPr>
              <w:t>Canfor Corp. (TSX:CFP)</w:t>
            </w:r>
            <w:r>
              <w:rPr>
                <w:noProof/>
                <w:webHidden/>
              </w:rPr>
              <w:tab/>
            </w:r>
            <w:r>
              <w:rPr>
                <w:noProof/>
                <w:webHidden/>
              </w:rPr>
              <w:fldChar w:fldCharType="begin"/>
            </w:r>
            <w:r>
              <w:rPr>
                <w:noProof/>
                <w:webHidden/>
              </w:rPr>
              <w:instrText xml:space="preserve"> PAGEREF _Toc212796737 \h </w:instrText>
            </w:r>
            <w:r>
              <w:rPr>
                <w:noProof/>
                <w:webHidden/>
              </w:rPr>
            </w:r>
            <w:r>
              <w:rPr>
                <w:noProof/>
                <w:webHidden/>
              </w:rPr>
              <w:fldChar w:fldCharType="separate"/>
            </w:r>
            <w:r>
              <w:rPr>
                <w:noProof/>
                <w:webHidden/>
              </w:rPr>
              <w:t>15</w:t>
            </w:r>
            <w:r>
              <w:rPr>
                <w:noProof/>
                <w:webHidden/>
              </w:rPr>
              <w:fldChar w:fldCharType="end"/>
            </w:r>
          </w:hyperlink>
        </w:p>
        <w:p w14:paraId="2FD0E742" w14:textId="15CE9CED" w:rsidR="00E14E3F" w:rsidRDefault="00E14E3F">
          <w:pPr>
            <w:pStyle w:val="TOC3"/>
            <w:tabs>
              <w:tab w:val="right" w:leader="dot" w:pos="9350"/>
            </w:tabs>
            <w:rPr>
              <w:rFonts w:eastAsiaTheme="minorEastAsia"/>
              <w:noProof/>
              <w:sz w:val="24"/>
              <w:szCs w:val="24"/>
            </w:rPr>
          </w:pPr>
          <w:hyperlink w:anchor="_Toc212796738"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_Toc212796738 \h </w:instrText>
            </w:r>
            <w:r>
              <w:rPr>
                <w:noProof/>
                <w:webHidden/>
              </w:rPr>
            </w:r>
            <w:r>
              <w:rPr>
                <w:noProof/>
                <w:webHidden/>
              </w:rPr>
              <w:fldChar w:fldCharType="separate"/>
            </w:r>
            <w:r>
              <w:rPr>
                <w:noProof/>
                <w:webHidden/>
              </w:rPr>
              <w:t>15</w:t>
            </w:r>
            <w:r>
              <w:rPr>
                <w:noProof/>
                <w:webHidden/>
              </w:rPr>
              <w:fldChar w:fldCharType="end"/>
            </w:r>
          </w:hyperlink>
        </w:p>
        <w:p w14:paraId="7C449FA2" w14:textId="326E7678" w:rsidR="00E14E3F" w:rsidRDefault="00E14E3F">
          <w:pPr>
            <w:pStyle w:val="TOC3"/>
            <w:tabs>
              <w:tab w:val="right" w:leader="dot" w:pos="9350"/>
            </w:tabs>
            <w:rPr>
              <w:rFonts w:eastAsiaTheme="minorEastAsia"/>
              <w:noProof/>
              <w:sz w:val="24"/>
              <w:szCs w:val="24"/>
            </w:rPr>
          </w:pPr>
          <w:hyperlink w:anchor="_Toc212796739"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_Toc212796739 \h </w:instrText>
            </w:r>
            <w:r>
              <w:rPr>
                <w:noProof/>
                <w:webHidden/>
              </w:rPr>
            </w:r>
            <w:r>
              <w:rPr>
                <w:noProof/>
                <w:webHidden/>
              </w:rPr>
              <w:fldChar w:fldCharType="separate"/>
            </w:r>
            <w:r>
              <w:rPr>
                <w:noProof/>
                <w:webHidden/>
              </w:rPr>
              <w:t>15</w:t>
            </w:r>
            <w:r>
              <w:rPr>
                <w:noProof/>
                <w:webHidden/>
              </w:rPr>
              <w:fldChar w:fldCharType="end"/>
            </w:r>
          </w:hyperlink>
        </w:p>
        <w:p w14:paraId="6FAD0B70" w14:textId="37298D9F" w:rsidR="00E14E3F" w:rsidRDefault="00E14E3F">
          <w:pPr>
            <w:pStyle w:val="TOC2"/>
            <w:rPr>
              <w:rFonts w:eastAsiaTheme="minorEastAsia"/>
              <w:noProof/>
              <w:sz w:val="24"/>
              <w:szCs w:val="24"/>
            </w:rPr>
          </w:pPr>
          <w:hyperlink w:anchor="_Toc212796740" w:history="1">
            <w:r w:rsidRPr="00BF36E8">
              <w:rPr>
                <w:rStyle w:val="Hyperlink"/>
                <w:rFonts w:cs="Times New Roman"/>
                <w:noProof/>
              </w:rPr>
              <w:t>Chemtrade Logistics Income Fund (TSX: CHE.UN)</w:t>
            </w:r>
            <w:r>
              <w:rPr>
                <w:noProof/>
                <w:webHidden/>
              </w:rPr>
              <w:tab/>
            </w:r>
            <w:r>
              <w:rPr>
                <w:noProof/>
                <w:webHidden/>
              </w:rPr>
              <w:fldChar w:fldCharType="begin"/>
            </w:r>
            <w:r>
              <w:rPr>
                <w:noProof/>
                <w:webHidden/>
              </w:rPr>
              <w:instrText xml:space="preserve"> PAGEREF _Toc212796740 \h </w:instrText>
            </w:r>
            <w:r>
              <w:rPr>
                <w:noProof/>
                <w:webHidden/>
              </w:rPr>
            </w:r>
            <w:r>
              <w:rPr>
                <w:noProof/>
                <w:webHidden/>
              </w:rPr>
              <w:fldChar w:fldCharType="separate"/>
            </w:r>
            <w:r>
              <w:rPr>
                <w:noProof/>
                <w:webHidden/>
              </w:rPr>
              <w:t>17</w:t>
            </w:r>
            <w:r>
              <w:rPr>
                <w:noProof/>
                <w:webHidden/>
              </w:rPr>
              <w:fldChar w:fldCharType="end"/>
            </w:r>
          </w:hyperlink>
        </w:p>
        <w:p w14:paraId="5C9CBA67" w14:textId="15BE5793" w:rsidR="00E14E3F" w:rsidRDefault="00E14E3F">
          <w:pPr>
            <w:pStyle w:val="TOC3"/>
            <w:tabs>
              <w:tab w:val="right" w:leader="dot" w:pos="9350"/>
            </w:tabs>
            <w:rPr>
              <w:rFonts w:eastAsiaTheme="minorEastAsia"/>
              <w:noProof/>
              <w:sz w:val="24"/>
              <w:szCs w:val="24"/>
            </w:rPr>
          </w:pPr>
          <w:hyperlink w:anchor="_Toc212796741"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_Toc212796741 \h </w:instrText>
            </w:r>
            <w:r>
              <w:rPr>
                <w:noProof/>
                <w:webHidden/>
              </w:rPr>
            </w:r>
            <w:r>
              <w:rPr>
                <w:noProof/>
                <w:webHidden/>
              </w:rPr>
              <w:fldChar w:fldCharType="separate"/>
            </w:r>
            <w:r>
              <w:rPr>
                <w:noProof/>
                <w:webHidden/>
              </w:rPr>
              <w:t>17</w:t>
            </w:r>
            <w:r>
              <w:rPr>
                <w:noProof/>
                <w:webHidden/>
              </w:rPr>
              <w:fldChar w:fldCharType="end"/>
            </w:r>
          </w:hyperlink>
        </w:p>
        <w:p w14:paraId="03A7DEDC" w14:textId="1F3AF43E" w:rsidR="00E14E3F" w:rsidRDefault="00E14E3F">
          <w:pPr>
            <w:pStyle w:val="TOC3"/>
            <w:tabs>
              <w:tab w:val="right" w:leader="dot" w:pos="9350"/>
            </w:tabs>
            <w:rPr>
              <w:rFonts w:eastAsiaTheme="minorEastAsia"/>
              <w:noProof/>
              <w:sz w:val="24"/>
              <w:szCs w:val="24"/>
            </w:rPr>
          </w:pPr>
          <w:hyperlink w:anchor="_Toc212796742"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_Toc212796742 \h </w:instrText>
            </w:r>
            <w:r>
              <w:rPr>
                <w:noProof/>
                <w:webHidden/>
              </w:rPr>
            </w:r>
            <w:r>
              <w:rPr>
                <w:noProof/>
                <w:webHidden/>
              </w:rPr>
              <w:fldChar w:fldCharType="separate"/>
            </w:r>
            <w:r>
              <w:rPr>
                <w:noProof/>
                <w:webHidden/>
              </w:rPr>
              <w:t>17</w:t>
            </w:r>
            <w:r>
              <w:rPr>
                <w:noProof/>
                <w:webHidden/>
              </w:rPr>
              <w:fldChar w:fldCharType="end"/>
            </w:r>
          </w:hyperlink>
        </w:p>
        <w:p w14:paraId="5A1D3E71" w14:textId="4E0BE195" w:rsidR="00E14E3F" w:rsidRDefault="00E14E3F">
          <w:pPr>
            <w:pStyle w:val="TOC2"/>
            <w:rPr>
              <w:rFonts w:eastAsiaTheme="minorEastAsia"/>
              <w:noProof/>
              <w:sz w:val="24"/>
              <w:szCs w:val="24"/>
            </w:rPr>
          </w:pPr>
          <w:hyperlink w:anchor="_Toc212796743" w:history="1">
            <w:r w:rsidRPr="00BF36E8">
              <w:rPr>
                <w:rStyle w:val="Hyperlink"/>
                <w:rFonts w:cs="Times New Roman"/>
                <w:noProof/>
              </w:rPr>
              <w:t>Constellium N.V. (NYSE:CSTM)</w:t>
            </w:r>
            <w:r>
              <w:rPr>
                <w:noProof/>
                <w:webHidden/>
              </w:rPr>
              <w:tab/>
            </w:r>
            <w:r>
              <w:rPr>
                <w:noProof/>
                <w:webHidden/>
              </w:rPr>
              <w:fldChar w:fldCharType="begin"/>
            </w:r>
            <w:r>
              <w:rPr>
                <w:noProof/>
                <w:webHidden/>
              </w:rPr>
              <w:instrText xml:space="preserve"> PAGEREF _Toc212796743 \h </w:instrText>
            </w:r>
            <w:r>
              <w:rPr>
                <w:noProof/>
                <w:webHidden/>
              </w:rPr>
            </w:r>
            <w:r>
              <w:rPr>
                <w:noProof/>
                <w:webHidden/>
              </w:rPr>
              <w:fldChar w:fldCharType="separate"/>
            </w:r>
            <w:r>
              <w:rPr>
                <w:noProof/>
                <w:webHidden/>
              </w:rPr>
              <w:t>19</w:t>
            </w:r>
            <w:r>
              <w:rPr>
                <w:noProof/>
                <w:webHidden/>
              </w:rPr>
              <w:fldChar w:fldCharType="end"/>
            </w:r>
          </w:hyperlink>
        </w:p>
        <w:p w14:paraId="2EF14873" w14:textId="1E98D56B" w:rsidR="00E14E3F" w:rsidRDefault="00E14E3F">
          <w:pPr>
            <w:pStyle w:val="TOC3"/>
            <w:tabs>
              <w:tab w:val="right" w:leader="dot" w:pos="9350"/>
            </w:tabs>
            <w:rPr>
              <w:rFonts w:eastAsiaTheme="minorEastAsia"/>
              <w:noProof/>
              <w:sz w:val="24"/>
              <w:szCs w:val="24"/>
            </w:rPr>
          </w:pPr>
          <w:hyperlink w:anchor="_Toc212796744" w:history="1">
            <w:r w:rsidRPr="00BF36E8">
              <w:rPr>
                <w:rStyle w:val="Hyperlink"/>
                <w:rFonts w:cs="Times New Roman"/>
                <w:noProof/>
              </w:rPr>
              <w:t xml:space="preserve">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_Toc212796744 \h </w:instrText>
            </w:r>
            <w:r>
              <w:rPr>
                <w:noProof/>
                <w:webHidden/>
              </w:rPr>
            </w:r>
            <w:r>
              <w:rPr>
                <w:noProof/>
                <w:webHidden/>
              </w:rPr>
              <w:fldChar w:fldCharType="separate"/>
            </w:r>
            <w:r>
              <w:rPr>
                <w:noProof/>
                <w:webHidden/>
              </w:rPr>
              <w:t>19</w:t>
            </w:r>
            <w:r>
              <w:rPr>
                <w:noProof/>
                <w:webHidden/>
              </w:rPr>
              <w:fldChar w:fldCharType="end"/>
            </w:r>
          </w:hyperlink>
        </w:p>
        <w:p w14:paraId="79751D9E" w14:textId="016A51B6" w:rsidR="00E14E3F" w:rsidRDefault="00E14E3F">
          <w:pPr>
            <w:pStyle w:val="TOC3"/>
            <w:tabs>
              <w:tab w:val="right" w:leader="dot" w:pos="9350"/>
            </w:tabs>
            <w:rPr>
              <w:rFonts w:eastAsiaTheme="minorEastAsia"/>
              <w:noProof/>
              <w:sz w:val="24"/>
              <w:szCs w:val="24"/>
            </w:rPr>
          </w:pPr>
          <w:hyperlink w:anchor="_Toc212796745"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_Toc212796745 \h </w:instrText>
            </w:r>
            <w:r>
              <w:rPr>
                <w:noProof/>
                <w:webHidden/>
              </w:rPr>
            </w:r>
            <w:r>
              <w:rPr>
                <w:noProof/>
                <w:webHidden/>
              </w:rPr>
              <w:fldChar w:fldCharType="separate"/>
            </w:r>
            <w:r>
              <w:rPr>
                <w:noProof/>
                <w:webHidden/>
              </w:rPr>
              <w:t>19</w:t>
            </w:r>
            <w:r>
              <w:rPr>
                <w:noProof/>
                <w:webHidden/>
              </w:rPr>
              <w:fldChar w:fldCharType="end"/>
            </w:r>
          </w:hyperlink>
        </w:p>
        <w:p w14:paraId="1CFE3F4B" w14:textId="70DA2768" w:rsidR="00E14E3F" w:rsidRDefault="00E14E3F">
          <w:pPr>
            <w:pStyle w:val="TOC2"/>
            <w:rPr>
              <w:rFonts w:eastAsiaTheme="minorEastAsia"/>
              <w:noProof/>
              <w:sz w:val="24"/>
              <w:szCs w:val="24"/>
            </w:rPr>
          </w:pPr>
          <w:hyperlink w:anchor="_Toc212796746" w:history="1">
            <w:r w:rsidRPr="00BF36E8">
              <w:rPr>
                <w:rStyle w:val="Hyperlink"/>
                <w:rFonts w:cs="Times New Roman"/>
                <w:noProof/>
              </w:rPr>
              <w:t>Evonik (XTRA:EVK)</w:t>
            </w:r>
            <w:r>
              <w:rPr>
                <w:noProof/>
                <w:webHidden/>
              </w:rPr>
              <w:tab/>
            </w:r>
            <w:r>
              <w:rPr>
                <w:noProof/>
                <w:webHidden/>
              </w:rPr>
              <w:fldChar w:fldCharType="begin"/>
            </w:r>
            <w:r>
              <w:rPr>
                <w:noProof/>
                <w:webHidden/>
              </w:rPr>
              <w:instrText xml:space="preserve"> PAGEREF _Toc212796746 \h </w:instrText>
            </w:r>
            <w:r>
              <w:rPr>
                <w:noProof/>
                <w:webHidden/>
              </w:rPr>
            </w:r>
            <w:r>
              <w:rPr>
                <w:noProof/>
                <w:webHidden/>
              </w:rPr>
              <w:fldChar w:fldCharType="separate"/>
            </w:r>
            <w:r>
              <w:rPr>
                <w:noProof/>
                <w:webHidden/>
              </w:rPr>
              <w:t>21</w:t>
            </w:r>
            <w:r>
              <w:rPr>
                <w:noProof/>
                <w:webHidden/>
              </w:rPr>
              <w:fldChar w:fldCharType="end"/>
            </w:r>
          </w:hyperlink>
        </w:p>
        <w:p w14:paraId="60CEF4B0" w14:textId="7425881E" w:rsidR="00E14E3F" w:rsidRDefault="00E14E3F">
          <w:pPr>
            <w:pStyle w:val="TOC3"/>
            <w:tabs>
              <w:tab w:val="right" w:leader="dot" w:pos="9350"/>
            </w:tabs>
            <w:rPr>
              <w:rFonts w:eastAsiaTheme="minorEastAsia"/>
              <w:noProof/>
              <w:sz w:val="24"/>
              <w:szCs w:val="24"/>
            </w:rPr>
          </w:pPr>
          <w:hyperlink w:anchor="_Toc212796747"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_Toc212796747 \h </w:instrText>
            </w:r>
            <w:r>
              <w:rPr>
                <w:noProof/>
                <w:webHidden/>
              </w:rPr>
            </w:r>
            <w:r>
              <w:rPr>
                <w:noProof/>
                <w:webHidden/>
              </w:rPr>
              <w:fldChar w:fldCharType="separate"/>
            </w:r>
            <w:r>
              <w:rPr>
                <w:noProof/>
                <w:webHidden/>
              </w:rPr>
              <w:t>21</w:t>
            </w:r>
            <w:r>
              <w:rPr>
                <w:noProof/>
                <w:webHidden/>
              </w:rPr>
              <w:fldChar w:fldCharType="end"/>
            </w:r>
          </w:hyperlink>
        </w:p>
        <w:p w14:paraId="7E8DF8F9" w14:textId="67BE26D9" w:rsidR="00E14E3F" w:rsidRDefault="00E14E3F">
          <w:pPr>
            <w:pStyle w:val="TOC3"/>
            <w:tabs>
              <w:tab w:val="right" w:leader="dot" w:pos="9350"/>
            </w:tabs>
            <w:rPr>
              <w:rFonts w:eastAsiaTheme="minorEastAsia"/>
              <w:noProof/>
              <w:sz w:val="24"/>
              <w:szCs w:val="24"/>
            </w:rPr>
          </w:pPr>
          <w:hyperlink w:anchor="_Toc212796748" w:history="1">
            <w:r w:rsidRPr="00BF36E8">
              <w:rPr>
                <w:rStyle w:val="Hyperlink"/>
                <w:rFonts w:cs="Times New Roman"/>
                <w:noProof/>
              </w:rPr>
              <w:t>AL Outlook: Neutral</w:t>
            </w:r>
            <w:r>
              <w:rPr>
                <w:noProof/>
                <w:webHidden/>
              </w:rPr>
              <w:tab/>
            </w:r>
            <w:r>
              <w:rPr>
                <w:noProof/>
                <w:webHidden/>
              </w:rPr>
              <w:fldChar w:fldCharType="begin"/>
            </w:r>
            <w:r>
              <w:rPr>
                <w:noProof/>
                <w:webHidden/>
              </w:rPr>
              <w:instrText xml:space="preserve"> PAGEREF _Toc212796748 \h </w:instrText>
            </w:r>
            <w:r>
              <w:rPr>
                <w:noProof/>
                <w:webHidden/>
              </w:rPr>
            </w:r>
            <w:r>
              <w:rPr>
                <w:noProof/>
                <w:webHidden/>
              </w:rPr>
              <w:fldChar w:fldCharType="separate"/>
            </w:r>
            <w:r>
              <w:rPr>
                <w:noProof/>
                <w:webHidden/>
              </w:rPr>
              <w:t>21</w:t>
            </w:r>
            <w:r>
              <w:rPr>
                <w:noProof/>
                <w:webHidden/>
              </w:rPr>
              <w:fldChar w:fldCharType="end"/>
            </w:r>
          </w:hyperlink>
        </w:p>
        <w:p w14:paraId="27955E05" w14:textId="672631B2" w:rsidR="00E14E3F" w:rsidRDefault="00E14E3F">
          <w:pPr>
            <w:pStyle w:val="TOC2"/>
            <w:rPr>
              <w:rFonts w:eastAsiaTheme="minorEastAsia"/>
              <w:noProof/>
              <w:sz w:val="24"/>
              <w:szCs w:val="24"/>
            </w:rPr>
          </w:pPr>
          <w:hyperlink w:anchor="_Toc212796749" w:history="1">
            <w:r w:rsidRPr="00BF36E8">
              <w:rPr>
                <w:rStyle w:val="Hyperlink"/>
                <w:rFonts w:cs="Times New Roman"/>
                <w:noProof/>
              </w:rPr>
              <w:t>Interfor Corp. (TSX:IFP)</w:t>
            </w:r>
            <w:r>
              <w:rPr>
                <w:noProof/>
                <w:webHidden/>
              </w:rPr>
              <w:tab/>
            </w:r>
            <w:r>
              <w:rPr>
                <w:noProof/>
                <w:webHidden/>
              </w:rPr>
              <w:fldChar w:fldCharType="begin"/>
            </w:r>
            <w:r>
              <w:rPr>
                <w:noProof/>
                <w:webHidden/>
              </w:rPr>
              <w:instrText xml:space="preserve"> PAGEREF _Toc212796749 \h </w:instrText>
            </w:r>
            <w:r>
              <w:rPr>
                <w:noProof/>
                <w:webHidden/>
              </w:rPr>
            </w:r>
            <w:r>
              <w:rPr>
                <w:noProof/>
                <w:webHidden/>
              </w:rPr>
              <w:fldChar w:fldCharType="separate"/>
            </w:r>
            <w:r>
              <w:rPr>
                <w:noProof/>
                <w:webHidden/>
              </w:rPr>
              <w:t>24</w:t>
            </w:r>
            <w:r>
              <w:rPr>
                <w:noProof/>
                <w:webHidden/>
              </w:rPr>
              <w:fldChar w:fldCharType="end"/>
            </w:r>
          </w:hyperlink>
        </w:p>
        <w:p w14:paraId="2844BF82" w14:textId="19FB6ED1" w:rsidR="00E14E3F" w:rsidRDefault="00E14E3F">
          <w:pPr>
            <w:pStyle w:val="TOC3"/>
            <w:tabs>
              <w:tab w:val="right" w:leader="dot" w:pos="9350"/>
            </w:tabs>
            <w:rPr>
              <w:rFonts w:eastAsiaTheme="minorEastAsia"/>
              <w:noProof/>
              <w:sz w:val="24"/>
              <w:szCs w:val="24"/>
            </w:rPr>
          </w:pPr>
          <w:hyperlink w:anchor="_Toc212796750" w:history="1">
            <w:r w:rsidRPr="00BF36E8">
              <w:rPr>
                <w:rStyle w:val="Hyperlink"/>
                <w:rFonts w:cs="Times New Roman"/>
                <w:noProof/>
              </w:rPr>
              <w:t xml:space="preserve">Outlook: </w:t>
            </w:r>
            <w:r w:rsidRPr="00C67C4C">
              <w:rPr>
                <w:rStyle w:val="Hyperlink"/>
                <w:rFonts w:cs="Times New Roman"/>
                <w:noProof/>
                <w:color w:val="EE0000"/>
              </w:rPr>
              <w:t>Negative</w:t>
            </w:r>
            <w:r>
              <w:rPr>
                <w:noProof/>
                <w:webHidden/>
              </w:rPr>
              <w:tab/>
            </w:r>
            <w:r>
              <w:rPr>
                <w:noProof/>
                <w:webHidden/>
              </w:rPr>
              <w:fldChar w:fldCharType="begin"/>
            </w:r>
            <w:r>
              <w:rPr>
                <w:noProof/>
                <w:webHidden/>
              </w:rPr>
              <w:instrText xml:space="preserve"> PAGEREF _Toc212796750 \h </w:instrText>
            </w:r>
            <w:r>
              <w:rPr>
                <w:noProof/>
                <w:webHidden/>
              </w:rPr>
            </w:r>
            <w:r>
              <w:rPr>
                <w:noProof/>
                <w:webHidden/>
              </w:rPr>
              <w:fldChar w:fldCharType="separate"/>
            </w:r>
            <w:r>
              <w:rPr>
                <w:noProof/>
                <w:webHidden/>
              </w:rPr>
              <w:t>24</w:t>
            </w:r>
            <w:r>
              <w:rPr>
                <w:noProof/>
                <w:webHidden/>
              </w:rPr>
              <w:fldChar w:fldCharType="end"/>
            </w:r>
          </w:hyperlink>
        </w:p>
        <w:p w14:paraId="7073A1F6" w14:textId="1AD39777" w:rsidR="00E14E3F" w:rsidRDefault="00E14E3F">
          <w:pPr>
            <w:pStyle w:val="TOC3"/>
            <w:tabs>
              <w:tab w:val="right" w:leader="dot" w:pos="9350"/>
            </w:tabs>
            <w:rPr>
              <w:rFonts w:eastAsiaTheme="minorEastAsia"/>
              <w:noProof/>
              <w:sz w:val="24"/>
              <w:szCs w:val="24"/>
            </w:rPr>
          </w:pPr>
          <w:hyperlink w:anchor="_Toc212796751"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_Toc212796751 \h </w:instrText>
            </w:r>
            <w:r>
              <w:rPr>
                <w:noProof/>
                <w:webHidden/>
              </w:rPr>
            </w:r>
            <w:r>
              <w:rPr>
                <w:noProof/>
                <w:webHidden/>
              </w:rPr>
              <w:fldChar w:fldCharType="separate"/>
            </w:r>
            <w:r>
              <w:rPr>
                <w:noProof/>
                <w:webHidden/>
              </w:rPr>
              <w:t>24</w:t>
            </w:r>
            <w:r>
              <w:rPr>
                <w:noProof/>
                <w:webHidden/>
              </w:rPr>
              <w:fldChar w:fldCharType="end"/>
            </w:r>
          </w:hyperlink>
        </w:p>
        <w:p w14:paraId="1F193C00" w14:textId="6DAFC10D" w:rsidR="00E14E3F" w:rsidRDefault="00E14E3F">
          <w:pPr>
            <w:pStyle w:val="TOC2"/>
            <w:rPr>
              <w:rFonts w:eastAsiaTheme="minorEastAsia"/>
              <w:noProof/>
              <w:sz w:val="24"/>
              <w:szCs w:val="24"/>
            </w:rPr>
          </w:pPr>
          <w:hyperlink w:anchor="_Toc212796752" w:history="1">
            <w:r w:rsidRPr="00BF36E8">
              <w:rPr>
                <w:rStyle w:val="Hyperlink"/>
                <w:rFonts w:cs="Times New Roman"/>
                <w:noProof/>
              </w:rPr>
              <w:t>International Paper Co. (NYSE:IP)</w:t>
            </w:r>
            <w:r>
              <w:rPr>
                <w:noProof/>
                <w:webHidden/>
              </w:rPr>
              <w:tab/>
            </w:r>
            <w:r>
              <w:rPr>
                <w:noProof/>
                <w:webHidden/>
              </w:rPr>
              <w:fldChar w:fldCharType="begin"/>
            </w:r>
            <w:r>
              <w:rPr>
                <w:noProof/>
                <w:webHidden/>
              </w:rPr>
              <w:instrText xml:space="preserve"> PAGEREF _Toc212796752 \h </w:instrText>
            </w:r>
            <w:r>
              <w:rPr>
                <w:noProof/>
                <w:webHidden/>
              </w:rPr>
            </w:r>
            <w:r>
              <w:rPr>
                <w:noProof/>
                <w:webHidden/>
              </w:rPr>
              <w:fldChar w:fldCharType="separate"/>
            </w:r>
            <w:r>
              <w:rPr>
                <w:noProof/>
                <w:webHidden/>
              </w:rPr>
              <w:t>26</w:t>
            </w:r>
            <w:r>
              <w:rPr>
                <w:noProof/>
                <w:webHidden/>
              </w:rPr>
              <w:fldChar w:fldCharType="end"/>
            </w:r>
          </w:hyperlink>
        </w:p>
        <w:p w14:paraId="261F998D" w14:textId="063F71D9" w:rsidR="00E14E3F" w:rsidRDefault="00E14E3F">
          <w:pPr>
            <w:pStyle w:val="TOC3"/>
            <w:tabs>
              <w:tab w:val="right" w:leader="dot" w:pos="9350"/>
            </w:tabs>
            <w:rPr>
              <w:rFonts w:eastAsiaTheme="minorEastAsia"/>
              <w:noProof/>
              <w:sz w:val="24"/>
              <w:szCs w:val="24"/>
            </w:rPr>
          </w:pPr>
          <w:hyperlink w:anchor="_Toc212796753"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_Toc212796753 \h </w:instrText>
            </w:r>
            <w:r>
              <w:rPr>
                <w:noProof/>
                <w:webHidden/>
              </w:rPr>
            </w:r>
            <w:r>
              <w:rPr>
                <w:noProof/>
                <w:webHidden/>
              </w:rPr>
              <w:fldChar w:fldCharType="separate"/>
            </w:r>
            <w:r>
              <w:rPr>
                <w:noProof/>
                <w:webHidden/>
              </w:rPr>
              <w:t>26</w:t>
            </w:r>
            <w:r>
              <w:rPr>
                <w:noProof/>
                <w:webHidden/>
              </w:rPr>
              <w:fldChar w:fldCharType="end"/>
            </w:r>
          </w:hyperlink>
        </w:p>
        <w:p w14:paraId="25528FFD" w14:textId="3CB6E905" w:rsidR="00E14E3F" w:rsidRDefault="00E14E3F">
          <w:pPr>
            <w:pStyle w:val="TOC3"/>
            <w:tabs>
              <w:tab w:val="right" w:leader="dot" w:pos="9350"/>
            </w:tabs>
            <w:rPr>
              <w:rFonts w:eastAsiaTheme="minorEastAsia"/>
              <w:noProof/>
              <w:sz w:val="24"/>
              <w:szCs w:val="24"/>
            </w:rPr>
          </w:pPr>
          <w:hyperlink w:anchor="_Toc212796754"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_Toc212796754 \h </w:instrText>
            </w:r>
            <w:r>
              <w:rPr>
                <w:noProof/>
                <w:webHidden/>
              </w:rPr>
            </w:r>
            <w:r>
              <w:rPr>
                <w:noProof/>
                <w:webHidden/>
              </w:rPr>
              <w:fldChar w:fldCharType="separate"/>
            </w:r>
            <w:r>
              <w:rPr>
                <w:noProof/>
                <w:webHidden/>
              </w:rPr>
              <w:t>26</w:t>
            </w:r>
            <w:r>
              <w:rPr>
                <w:noProof/>
                <w:webHidden/>
              </w:rPr>
              <w:fldChar w:fldCharType="end"/>
            </w:r>
          </w:hyperlink>
        </w:p>
        <w:p w14:paraId="6B6AA79D" w14:textId="005A659D" w:rsidR="00E14E3F" w:rsidRDefault="00E14E3F">
          <w:pPr>
            <w:pStyle w:val="TOC2"/>
            <w:rPr>
              <w:rFonts w:eastAsiaTheme="minorEastAsia"/>
              <w:noProof/>
              <w:sz w:val="24"/>
              <w:szCs w:val="24"/>
            </w:rPr>
          </w:pPr>
          <w:hyperlink w:anchor="_Toc212796755" w:history="1">
            <w:r w:rsidRPr="00BF36E8">
              <w:rPr>
                <w:rStyle w:val="Hyperlink"/>
                <w:rFonts w:cs="Times New Roman"/>
                <w:noProof/>
              </w:rPr>
              <w:t>Louisiana-Pacific Corporation (NYSE:LPX)</w:t>
            </w:r>
            <w:r>
              <w:rPr>
                <w:noProof/>
                <w:webHidden/>
              </w:rPr>
              <w:tab/>
            </w:r>
            <w:r>
              <w:rPr>
                <w:noProof/>
                <w:webHidden/>
              </w:rPr>
              <w:fldChar w:fldCharType="begin"/>
            </w:r>
            <w:r>
              <w:rPr>
                <w:noProof/>
                <w:webHidden/>
              </w:rPr>
              <w:instrText xml:space="preserve"> PAGEREF _Toc212796755 \h </w:instrText>
            </w:r>
            <w:r>
              <w:rPr>
                <w:noProof/>
                <w:webHidden/>
              </w:rPr>
            </w:r>
            <w:r>
              <w:rPr>
                <w:noProof/>
                <w:webHidden/>
              </w:rPr>
              <w:fldChar w:fldCharType="separate"/>
            </w:r>
            <w:r>
              <w:rPr>
                <w:noProof/>
                <w:webHidden/>
              </w:rPr>
              <w:t>28</w:t>
            </w:r>
            <w:r>
              <w:rPr>
                <w:noProof/>
                <w:webHidden/>
              </w:rPr>
              <w:fldChar w:fldCharType="end"/>
            </w:r>
          </w:hyperlink>
        </w:p>
        <w:p w14:paraId="75AD0F8B" w14:textId="34F18377" w:rsidR="00E14E3F" w:rsidRDefault="00E14E3F">
          <w:pPr>
            <w:pStyle w:val="TOC3"/>
            <w:tabs>
              <w:tab w:val="right" w:leader="dot" w:pos="9350"/>
            </w:tabs>
            <w:rPr>
              <w:rFonts w:eastAsiaTheme="minorEastAsia"/>
              <w:noProof/>
              <w:sz w:val="24"/>
              <w:szCs w:val="24"/>
            </w:rPr>
          </w:pPr>
          <w:hyperlink w:anchor="_Toc212796756" w:history="1">
            <w:r w:rsidRPr="00BF36E8">
              <w:rPr>
                <w:rStyle w:val="Hyperlink"/>
                <w:rFonts w:cs="Times New Roman"/>
                <w:noProof/>
              </w:rPr>
              <w:t xml:space="preserve">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_Toc212796756 \h </w:instrText>
            </w:r>
            <w:r>
              <w:rPr>
                <w:noProof/>
                <w:webHidden/>
              </w:rPr>
            </w:r>
            <w:r>
              <w:rPr>
                <w:noProof/>
                <w:webHidden/>
              </w:rPr>
              <w:fldChar w:fldCharType="separate"/>
            </w:r>
            <w:r>
              <w:rPr>
                <w:noProof/>
                <w:webHidden/>
              </w:rPr>
              <w:t>28</w:t>
            </w:r>
            <w:r>
              <w:rPr>
                <w:noProof/>
                <w:webHidden/>
              </w:rPr>
              <w:fldChar w:fldCharType="end"/>
            </w:r>
          </w:hyperlink>
        </w:p>
        <w:p w14:paraId="0B3A3BB7" w14:textId="1D83695D" w:rsidR="00E14E3F" w:rsidRDefault="00E14E3F">
          <w:pPr>
            <w:pStyle w:val="TOC3"/>
            <w:tabs>
              <w:tab w:val="right" w:leader="dot" w:pos="9350"/>
            </w:tabs>
            <w:rPr>
              <w:rFonts w:eastAsiaTheme="minorEastAsia"/>
              <w:noProof/>
              <w:sz w:val="24"/>
              <w:szCs w:val="24"/>
            </w:rPr>
          </w:pPr>
          <w:hyperlink w:anchor="_Toc212796757"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_Toc212796757 \h </w:instrText>
            </w:r>
            <w:r>
              <w:rPr>
                <w:noProof/>
                <w:webHidden/>
              </w:rPr>
            </w:r>
            <w:r>
              <w:rPr>
                <w:noProof/>
                <w:webHidden/>
              </w:rPr>
              <w:fldChar w:fldCharType="separate"/>
            </w:r>
            <w:r>
              <w:rPr>
                <w:noProof/>
                <w:webHidden/>
              </w:rPr>
              <w:t>28</w:t>
            </w:r>
            <w:r>
              <w:rPr>
                <w:noProof/>
                <w:webHidden/>
              </w:rPr>
              <w:fldChar w:fldCharType="end"/>
            </w:r>
          </w:hyperlink>
        </w:p>
        <w:p w14:paraId="54118477" w14:textId="70E795A7" w:rsidR="00E14E3F" w:rsidRDefault="00E14E3F">
          <w:pPr>
            <w:pStyle w:val="TOC2"/>
            <w:rPr>
              <w:rFonts w:eastAsiaTheme="minorEastAsia"/>
              <w:noProof/>
              <w:sz w:val="24"/>
              <w:szCs w:val="24"/>
            </w:rPr>
          </w:pPr>
          <w:hyperlink w:anchor="_Toc212796758" w:history="1">
            <w:r w:rsidRPr="00BF36E8">
              <w:rPr>
                <w:rStyle w:val="Hyperlink"/>
                <w:rFonts w:cs="Times New Roman"/>
                <w:noProof/>
              </w:rPr>
              <w:t>NFI Group Inc. (TSX:NFI)</w:t>
            </w:r>
            <w:r>
              <w:rPr>
                <w:noProof/>
                <w:webHidden/>
              </w:rPr>
              <w:tab/>
            </w:r>
            <w:r>
              <w:rPr>
                <w:noProof/>
                <w:webHidden/>
              </w:rPr>
              <w:fldChar w:fldCharType="begin"/>
            </w:r>
            <w:r>
              <w:rPr>
                <w:noProof/>
                <w:webHidden/>
              </w:rPr>
              <w:instrText xml:space="preserve"> PAGEREF _Toc212796758 \h </w:instrText>
            </w:r>
            <w:r>
              <w:rPr>
                <w:noProof/>
                <w:webHidden/>
              </w:rPr>
            </w:r>
            <w:r>
              <w:rPr>
                <w:noProof/>
                <w:webHidden/>
              </w:rPr>
              <w:fldChar w:fldCharType="separate"/>
            </w:r>
            <w:r>
              <w:rPr>
                <w:noProof/>
                <w:webHidden/>
              </w:rPr>
              <w:t>30</w:t>
            </w:r>
            <w:r>
              <w:rPr>
                <w:noProof/>
                <w:webHidden/>
              </w:rPr>
              <w:fldChar w:fldCharType="end"/>
            </w:r>
          </w:hyperlink>
        </w:p>
        <w:p w14:paraId="3F13B0C8" w14:textId="6716436A" w:rsidR="00E14E3F" w:rsidRDefault="00E14E3F">
          <w:pPr>
            <w:pStyle w:val="TOC3"/>
            <w:tabs>
              <w:tab w:val="right" w:leader="dot" w:pos="9350"/>
            </w:tabs>
            <w:rPr>
              <w:rFonts w:eastAsiaTheme="minorEastAsia"/>
              <w:noProof/>
              <w:sz w:val="24"/>
              <w:szCs w:val="24"/>
            </w:rPr>
          </w:pPr>
          <w:hyperlink w:anchor="_Toc212796759"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_Toc212796759 \h </w:instrText>
            </w:r>
            <w:r>
              <w:rPr>
                <w:noProof/>
                <w:webHidden/>
              </w:rPr>
            </w:r>
            <w:r>
              <w:rPr>
                <w:noProof/>
                <w:webHidden/>
              </w:rPr>
              <w:fldChar w:fldCharType="separate"/>
            </w:r>
            <w:r>
              <w:rPr>
                <w:noProof/>
                <w:webHidden/>
              </w:rPr>
              <w:t>30</w:t>
            </w:r>
            <w:r>
              <w:rPr>
                <w:noProof/>
                <w:webHidden/>
              </w:rPr>
              <w:fldChar w:fldCharType="end"/>
            </w:r>
          </w:hyperlink>
        </w:p>
        <w:p w14:paraId="7171C38B" w14:textId="17F37185" w:rsidR="00E14E3F" w:rsidRDefault="00E14E3F">
          <w:pPr>
            <w:pStyle w:val="TOC3"/>
            <w:tabs>
              <w:tab w:val="right" w:leader="dot" w:pos="9350"/>
            </w:tabs>
            <w:rPr>
              <w:rFonts w:eastAsiaTheme="minorEastAsia"/>
              <w:noProof/>
              <w:sz w:val="24"/>
              <w:szCs w:val="24"/>
            </w:rPr>
          </w:pPr>
          <w:hyperlink w:anchor="_Toc212796760" w:history="1">
            <w:r w:rsidRPr="00BF36E8">
              <w:rPr>
                <w:rStyle w:val="Hyperlink"/>
                <w:rFonts w:cs="Times New Roman"/>
                <w:noProof/>
              </w:rPr>
              <w:t>AL Outlook: Neutral</w:t>
            </w:r>
            <w:r>
              <w:rPr>
                <w:noProof/>
                <w:webHidden/>
              </w:rPr>
              <w:tab/>
            </w:r>
            <w:r>
              <w:rPr>
                <w:noProof/>
                <w:webHidden/>
              </w:rPr>
              <w:fldChar w:fldCharType="begin"/>
            </w:r>
            <w:r>
              <w:rPr>
                <w:noProof/>
                <w:webHidden/>
              </w:rPr>
              <w:instrText xml:space="preserve"> PAGEREF _Toc212796760 \h </w:instrText>
            </w:r>
            <w:r>
              <w:rPr>
                <w:noProof/>
                <w:webHidden/>
              </w:rPr>
            </w:r>
            <w:r>
              <w:rPr>
                <w:noProof/>
                <w:webHidden/>
              </w:rPr>
              <w:fldChar w:fldCharType="separate"/>
            </w:r>
            <w:r>
              <w:rPr>
                <w:noProof/>
                <w:webHidden/>
              </w:rPr>
              <w:t>30</w:t>
            </w:r>
            <w:r>
              <w:rPr>
                <w:noProof/>
                <w:webHidden/>
              </w:rPr>
              <w:fldChar w:fldCharType="end"/>
            </w:r>
          </w:hyperlink>
        </w:p>
        <w:p w14:paraId="34679200" w14:textId="28569292" w:rsidR="00E14E3F" w:rsidRDefault="00E14E3F">
          <w:pPr>
            <w:pStyle w:val="TOC2"/>
            <w:rPr>
              <w:rFonts w:eastAsiaTheme="minorEastAsia"/>
              <w:noProof/>
              <w:sz w:val="24"/>
              <w:szCs w:val="24"/>
            </w:rPr>
          </w:pPr>
          <w:hyperlink w:anchor="_Toc212796761" w:history="1">
            <w:r w:rsidRPr="00BF36E8">
              <w:rPr>
                <w:rStyle w:val="Hyperlink"/>
                <w:rFonts w:cs="Times New Roman"/>
                <w:noProof/>
              </w:rPr>
              <w:t>Nippon Steel Corporation (TSE: 5401)</w:t>
            </w:r>
            <w:r>
              <w:rPr>
                <w:noProof/>
                <w:webHidden/>
              </w:rPr>
              <w:tab/>
            </w:r>
            <w:r>
              <w:rPr>
                <w:noProof/>
                <w:webHidden/>
              </w:rPr>
              <w:fldChar w:fldCharType="begin"/>
            </w:r>
            <w:r>
              <w:rPr>
                <w:noProof/>
                <w:webHidden/>
              </w:rPr>
              <w:instrText xml:space="preserve"> PAGEREF _Toc212796761 \h </w:instrText>
            </w:r>
            <w:r>
              <w:rPr>
                <w:noProof/>
                <w:webHidden/>
              </w:rPr>
            </w:r>
            <w:r>
              <w:rPr>
                <w:noProof/>
                <w:webHidden/>
              </w:rPr>
              <w:fldChar w:fldCharType="separate"/>
            </w:r>
            <w:r>
              <w:rPr>
                <w:noProof/>
                <w:webHidden/>
              </w:rPr>
              <w:t>32</w:t>
            </w:r>
            <w:r>
              <w:rPr>
                <w:noProof/>
                <w:webHidden/>
              </w:rPr>
              <w:fldChar w:fldCharType="end"/>
            </w:r>
          </w:hyperlink>
        </w:p>
        <w:p w14:paraId="0458D010" w14:textId="2075D112" w:rsidR="00E14E3F" w:rsidRDefault="00E14E3F">
          <w:pPr>
            <w:pStyle w:val="TOC3"/>
            <w:tabs>
              <w:tab w:val="right" w:leader="dot" w:pos="9350"/>
            </w:tabs>
            <w:rPr>
              <w:rFonts w:eastAsiaTheme="minorEastAsia"/>
              <w:noProof/>
              <w:sz w:val="24"/>
              <w:szCs w:val="24"/>
            </w:rPr>
          </w:pPr>
          <w:hyperlink w:anchor="_Toc212796762"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_Toc212796762 \h </w:instrText>
            </w:r>
            <w:r>
              <w:rPr>
                <w:noProof/>
                <w:webHidden/>
              </w:rPr>
            </w:r>
            <w:r>
              <w:rPr>
                <w:noProof/>
                <w:webHidden/>
              </w:rPr>
              <w:fldChar w:fldCharType="separate"/>
            </w:r>
            <w:r>
              <w:rPr>
                <w:noProof/>
                <w:webHidden/>
              </w:rPr>
              <w:t>32</w:t>
            </w:r>
            <w:r>
              <w:rPr>
                <w:noProof/>
                <w:webHidden/>
              </w:rPr>
              <w:fldChar w:fldCharType="end"/>
            </w:r>
          </w:hyperlink>
        </w:p>
        <w:p w14:paraId="5E32A2EB" w14:textId="21693D2D" w:rsidR="00E14E3F" w:rsidRDefault="00E14E3F">
          <w:pPr>
            <w:pStyle w:val="TOC3"/>
            <w:tabs>
              <w:tab w:val="right" w:leader="dot" w:pos="9350"/>
            </w:tabs>
            <w:rPr>
              <w:rFonts w:eastAsiaTheme="minorEastAsia"/>
              <w:noProof/>
              <w:sz w:val="24"/>
              <w:szCs w:val="24"/>
            </w:rPr>
          </w:pPr>
          <w:hyperlink w:anchor="_Toc212796763" w:history="1">
            <w:r w:rsidRPr="00BF36E8">
              <w:rPr>
                <w:rStyle w:val="Hyperlink"/>
                <w:rFonts w:cs="Times New Roman"/>
                <w:noProof/>
              </w:rPr>
              <w:t>AL Outlook: Neutral</w:t>
            </w:r>
            <w:r>
              <w:rPr>
                <w:noProof/>
                <w:webHidden/>
              </w:rPr>
              <w:tab/>
            </w:r>
            <w:r>
              <w:rPr>
                <w:noProof/>
                <w:webHidden/>
              </w:rPr>
              <w:fldChar w:fldCharType="begin"/>
            </w:r>
            <w:r>
              <w:rPr>
                <w:noProof/>
                <w:webHidden/>
              </w:rPr>
              <w:instrText xml:space="preserve"> PAGEREF _Toc212796763 \h </w:instrText>
            </w:r>
            <w:r>
              <w:rPr>
                <w:noProof/>
                <w:webHidden/>
              </w:rPr>
            </w:r>
            <w:r>
              <w:rPr>
                <w:noProof/>
                <w:webHidden/>
              </w:rPr>
              <w:fldChar w:fldCharType="separate"/>
            </w:r>
            <w:r>
              <w:rPr>
                <w:noProof/>
                <w:webHidden/>
              </w:rPr>
              <w:t>32</w:t>
            </w:r>
            <w:r>
              <w:rPr>
                <w:noProof/>
                <w:webHidden/>
              </w:rPr>
              <w:fldChar w:fldCharType="end"/>
            </w:r>
          </w:hyperlink>
        </w:p>
        <w:p w14:paraId="57A0F88C" w14:textId="480ABB87" w:rsidR="00E14E3F" w:rsidRDefault="00E14E3F">
          <w:pPr>
            <w:pStyle w:val="TOC2"/>
            <w:rPr>
              <w:rFonts w:eastAsiaTheme="minorEastAsia"/>
              <w:noProof/>
              <w:sz w:val="24"/>
              <w:szCs w:val="24"/>
            </w:rPr>
          </w:pPr>
          <w:hyperlink w:anchor="_Toc212796764" w:history="1">
            <w:r w:rsidRPr="00BF36E8">
              <w:rPr>
                <w:rStyle w:val="Hyperlink"/>
                <w:rFonts w:cs="Times New Roman"/>
                <w:noProof/>
              </w:rPr>
              <w:t>Nucor Corp. (NYSE:NUE)</w:t>
            </w:r>
            <w:r>
              <w:rPr>
                <w:noProof/>
                <w:webHidden/>
              </w:rPr>
              <w:tab/>
            </w:r>
            <w:r>
              <w:rPr>
                <w:noProof/>
                <w:webHidden/>
              </w:rPr>
              <w:fldChar w:fldCharType="begin"/>
            </w:r>
            <w:r>
              <w:rPr>
                <w:noProof/>
                <w:webHidden/>
              </w:rPr>
              <w:instrText xml:space="preserve"> PAGEREF _Toc212796764 \h </w:instrText>
            </w:r>
            <w:r>
              <w:rPr>
                <w:noProof/>
                <w:webHidden/>
              </w:rPr>
            </w:r>
            <w:r>
              <w:rPr>
                <w:noProof/>
                <w:webHidden/>
              </w:rPr>
              <w:fldChar w:fldCharType="separate"/>
            </w:r>
            <w:r>
              <w:rPr>
                <w:noProof/>
                <w:webHidden/>
              </w:rPr>
              <w:t>33</w:t>
            </w:r>
            <w:r>
              <w:rPr>
                <w:noProof/>
                <w:webHidden/>
              </w:rPr>
              <w:fldChar w:fldCharType="end"/>
            </w:r>
          </w:hyperlink>
        </w:p>
        <w:p w14:paraId="556BF145" w14:textId="5F48168D" w:rsidR="00E14E3F" w:rsidRDefault="00E14E3F">
          <w:pPr>
            <w:pStyle w:val="TOC3"/>
            <w:tabs>
              <w:tab w:val="right" w:leader="dot" w:pos="9350"/>
            </w:tabs>
            <w:rPr>
              <w:rFonts w:eastAsiaTheme="minorEastAsia"/>
              <w:noProof/>
              <w:sz w:val="24"/>
              <w:szCs w:val="24"/>
            </w:rPr>
          </w:pPr>
          <w:hyperlink w:anchor="_Toc212796765" w:history="1">
            <w:r w:rsidRPr="00BF36E8">
              <w:rPr>
                <w:rStyle w:val="Hyperlink"/>
                <w:rFonts w:cs="Times New Roman"/>
                <w:noProof/>
              </w:rPr>
              <w:t xml:space="preserve">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_Toc212796765 \h </w:instrText>
            </w:r>
            <w:r>
              <w:rPr>
                <w:noProof/>
                <w:webHidden/>
              </w:rPr>
            </w:r>
            <w:r>
              <w:rPr>
                <w:noProof/>
                <w:webHidden/>
              </w:rPr>
              <w:fldChar w:fldCharType="separate"/>
            </w:r>
            <w:r>
              <w:rPr>
                <w:noProof/>
                <w:webHidden/>
              </w:rPr>
              <w:t>33</w:t>
            </w:r>
            <w:r>
              <w:rPr>
                <w:noProof/>
                <w:webHidden/>
              </w:rPr>
              <w:fldChar w:fldCharType="end"/>
            </w:r>
          </w:hyperlink>
        </w:p>
        <w:p w14:paraId="2913B8D0" w14:textId="740AA646" w:rsidR="00E14E3F" w:rsidRDefault="00E14E3F">
          <w:pPr>
            <w:pStyle w:val="TOC3"/>
            <w:tabs>
              <w:tab w:val="right" w:leader="dot" w:pos="9350"/>
            </w:tabs>
            <w:rPr>
              <w:rFonts w:eastAsiaTheme="minorEastAsia"/>
              <w:noProof/>
              <w:sz w:val="24"/>
              <w:szCs w:val="24"/>
            </w:rPr>
          </w:pPr>
          <w:hyperlink w:anchor="_Toc212796766"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_Toc212796766 \h </w:instrText>
            </w:r>
            <w:r>
              <w:rPr>
                <w:noProof/>
                <w:webHidden/>
              </w:rPr>
            </w:r>
            <w:r>
              <w:rPr>
                <w:noProof/>
                <w:webHidden/>
              </w:rPr>
              <w:fldChar w:fldCharType="separate"/>
            </w:r>
            <w:r>
              <w:rPr>
                <w:noProof/>
                <w:webHidden/>
              </w:rPr>
              <w:t>33</w:t>
            </w:r>
            <w:r>
              <w:rPr>
                <w:noProof/>
                <w:webHidden/>
              </w:rPr>
              <w:fldChar w:fldCharType="end"/>
            </w:r>
          </w:hyperlink>
        </w:p>
        <w:p w14:paraId="74A5C7BF" w14:textId="41346276" w:rsidR="00E14E3F" w:rsidRDefault="00E14E3F">
          <w:pPr>
            <w:pStyle w:val="TOC2"/>
            <w:rPr>
              <w:rFonts w:eastAsiaTheme="minorEastAsia"/>
              <w:noProof/>
              <w:sz w:val="24"/>
              <w:szCs w:val="24"/>
            </w:rPr>
          </w:pPr>
          <w:hyperlink w:anchor="_Toc212796767" w:history="1">
            <w:r w:rsidRPr="00BF36E8">
              <w:rPr>
                <w:rStyle w:val="Hyperlink"/>
                <w:rFonts w:cs="Times New Roman"/>
                <w:noProof/>
              </w:rPr>
              <w:t>Olin Corporation (NYSE:OLN)</w:t>
            </w:r>
            <w:r>
              <w:rPr>
                <w:noProof/>
                <w:webHidden/>
              </w:rPr>
              <w:tab/>
            </w:r>
            <w:r>
              <w:rPr>
                <w:noProof/>
                <w:webHidden/>
              </w:rPr>
              <w:fldChar w:fldCharType="begin"/>
            </w:r>
            <w:r>
              <w:rPr>
                <w:noProof/>
                <w:webHidden/>
              </w:rPr>
              <w:instrText xml:space="preserve"> PAGEREF _Toc212796767 \h </w:instrText>
            </w:r>
            <w:r>
              <w:rPr>
                <w:noProof/>
                <w:webHidden/>
              </w:rPr>
            </w:r>
            <w:r>
              <w:rPr>
                <w:noProof/>
                <w:webHidden/>
              </w:rPr>
              <w:fldChar w:fldCharType="separate"/>
            </w:r>
            <w:r>
              <w:rPr>
                <w:noProof/>
                <w:webHidden/>
              </w:rPr>
              <w:t>35</w:t>
            </w:r>
            <w:r>
              <w:rPr>
                <w:noProof/>
                <w:webHidden/>
              </w:rPr>
              <w:fldChar w:fldCharType="end"/>
            </w:r>
          </w:hyperlink>
        </w:p>
        <w:p w14:paraId="16ECCF78" w14:textId="7B06DE9F" w:rsidR="00E14E3F" w:rsidRDefault="00E14E3F">
          <w:pPr>
            <w:pStyle w:val="TOC3"/>
            <w:tabs>
              <w:tab w:val="right" w:leader="dot" w:pos="9350"/>
            </w:tabs>
            <w:rPr>
              <w:rFonts w:eastAsiaTheme="minorEastAsia"/>
              <w:noProof/>
              <w:sz w:val="24"/>
              <w:szCs w:val="24"/>
            </w:rPr>
          </w:pPr>
          <w:hyperlink w:anchor="_Toc212796768" w:history="1">
            <w:r w:rsidRPr="00BF36E8">
              <w:rPr>
                <w:rStyle w:val="Hyperlink"/>
                <w:rFonts w:cs="Times New Roman"/>
                <w:noProof/>
              </w:rPr>
              <w:t xml:space="preserve">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_Toc212796768 \h </w:instrText>
            </w:r>
            <w:r>
              <w:rPr>
                <w:noProof/>
                <w:webHidden/>
              </w:rPr>
            </w:r>
            <w:r>
              <w:rPr>
                <w:noProof/>
                <w:webHidden/>
              </w:rPr>
              <w:fldChar w:fldCharType="separate"/>
            </w:r>
            <w:r>
              <w:rPr>
                <w:noProof/>
                <w:webHidden/>
              </w:rPr>
              <w:t>35</w:t>
            </w:r>
            <w:r>
              <w:rPr>
                <w:noProof/>
                <w:webHidden/>
              </w:rPr>
              <w:fldChar w:fldCharType="end"/>
            </w:r>
          </w:hyperlink>
        </w:p>
        <w:p w14:paraId="15DFE36C" w14:textId="37775536" w:rsidR="00E14E3F" w:rsidRDefault="00E14E3F">
          <w:pPr>
            <w:pStyle w:val="TOC3"/>
            <w:tabs>
              <w:tab w:val="right" w:leader="dot" w:pos="9350"/>
            </w:tabs>
            <w:rPr>
              <w:rFonts w:eastAsiaTheme="minorEastAsia"/>
              <w:noProof/>
              <w:sz w:val="24"/>
              <w:szCs w:val="24"/>
            </w:rPr>
          </w:pPr>
          <w:hyperlink w:anchor="_Toc212796769"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_Toc212796769 \h </w:instrText>
            </w:r>
            <w:r>
              <w:rPr>
                <w:noProof/>
                <w:webHidden/>
              </w:rPr>
            </w:r>
            <w:r>
              <w:rPr>
                <w:noProof/>
                <w:webHidden/>
              </w:rPr>
              <w:fldChar w:fldCharType="separate"/>
            </w:r>
            <w:r>
              <w:rPr>
                <w:noProof/>
                <w:webHidden/>
              </w:rPr>
              <w:t>35</w:t>
            </w:r>
            <w:r>
              <w:rPr>
                <w:noProof/>
                <w:webHidden/>
              </w:rPr>
              <w:fldChar w:fldCharType="end"/>
            </w:r>
          </w:hyperlink>
        </w:p>
        <w:p w14:paraId="49245BE2" w14:textId="1C54E250" w:rsidR="00E14E3F" w:rsidRDefault="00E14E3F">
          <w:pPr>
            <w:pStyle w:val="TOC2"/>
            <w:rPr>
              <w:rFonts w:eastAsiaTheme="minorEastAsia"/>
              <w:noProof/>
              <w:sz w:val="24"/>
              <w:szCs w:val="24"/>
            </w:rPr>
          </w:pPr>
          <w:hyperlink w:anchor="_Toc212796770" w:history="1">
            <w:r w:rsidRPr="00BF36E8">
              <w:rPr>
                <w:rStyle w:val="Hyperlink"/>
                <w:rFonts w:cs="Times New Roman"/>
                <w:noProof/>
              </w:rPr>
              <w:t>Outokumpu Oyj (HLSE:OUT1V)</w:t>
            </w:r>
            <w:r>
              <w:rPr>
                <w:noProof/>
                <w:webHidden/>
              </w:rPr>
              <w:tab/>
            </w:r>
            <w:r>
              <w:rPr>
                <w:noProof/>
                <w:webHidden/>
              </w:rPr>
              <w:fldChar w:fldCharType="begin"/>
            </w:r>
            <w:r>
              <w:rPr>
                <w:noProof/>
                <w:webHidden/>
              </w:rPr>
              <w:instrText xml:space="preserve"> PAGEREF _Toc212796770 \h </w:instrText>
            </w:r>
            <w:r>
              <w:rPr>
                <w:noProof/>
                <w:webHidden/>
              </w:rPr>
            </w:r>
            <w:r>
              <w:rPr>
                <w:noProof/>
                <w:webHidden/>
              </w:rPr>
              <w:fldChar w:fldCharType="separate"/>
            </w:r>
            <w:r>
              <w:rPr>
                <w:noProof/>
                <w:webHidden/>
              </w:rPr>
              <w:t>37</w:t>
            </w:r>
            <w:r>
              <w:rPr>
                <w:noProof/>
                <w:webHidden/>
              </w:rPr>
              <w:fldChar w:fldCharType="end"/>
            </w:r>
          </w:hyperlink>
        </w:p>
        <w:p w14:paraId="12E5C90B" w14:textId="24D5A083" w:rsidR="00E14E3F" w:rsidRDefault="00E14E3F">
          <w:pPr>
            <w:pStyle w:val="TOC3"/>
            <w:tabs>
              <w:tab w:val="right" w:leader="dot" w:pos="9350"/>
            </w:tabs>
            <w:rPr>
              <w:rFonts w:eastAsiaTheme="minorEastAsia"/>
              <w:noProof/>
              <w:sz w:val="24"/>
              <w:szCs w:val="24"/>
            </w:rPr>
          </w:pPr>
          <w:hyperlink w:anchor="_Toc212796771"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_Toc212796771 \h </w:instrText>
            </w:r>
            <w:r>
              <w:rPr>
                <w:noProof/>
                <w:webHidden/>
              </w:rPr>
            </w:r>
            <w:r>
              <w:rPr>
                <w:noProof/>
                <w:webHidden/>
              </w:rPr>
              <w:fldChar w:fldCharType="separate"/>
            </w:r>
            <w:r>
              <w:rPr>
                <w:noProof/>
                <w:webHidden/>
              </w:rPr>
              <w:t>37</w:t>
            </w:r>
            <w:r>
              <w:rPr>
                <w:noProof/>
                <w:webHidden/>
              </w:rPr>
              <w:fldChar w:fldCharType="end"/>
            </w:r>
          </w:hyperlink>
        </w:p>
        <w:p w14:paraId="145E599B" w14:textId="4A882253" w:rsidR="00E14E3F" w:rsidRDefault="00E14E3F">
          <w:pPr>
            <w:pStyle w:val="TOC3"/>
            <w:tabs>
              <w:tab w:val="right" w:leader="dot" w:pos="9350"/>
            </w:tabs>
            <w:rPr>
              <w:rFonts w:eastAsiaTheme="minorEastAsia"/>
              <w:noProof/>
              <w:sz w:val="24"/>
              <w:szCs w:val="24"/>
            </w:rPr>
          </w:pPr>
          <w:hyperlink w:anchor="_Toc212796772"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_Toc212796772 \h </w:instrText>
            </w:r>
            <w:r>
              <w:rPr>
                <w:noProof/>
                <w:webHidden/>
              </w:rPr>
            </w:r>
            <w:r>
              <w:rPr>
                <w:noProof/>
                <w:webHidden/>
              </w:rPr>
              <w:fldChar w:fldCharType="separate"/>
            </w:r>
            <w:r>
              <w:rPr>
                <w:noProof/>
                <w:webHidden/>
              </w:rPr>
              <w:t>37</w:t>
            </w:r>
            <w:r>
              <w:rPr>
                <w:noProof/>
                <w:webHidden/>
              </w:rPr>
              <w:fldChar w:fldCharType="end"/>
            </w:r>
          </w:hyperlink>
        </w:p>
        <w:p w14:paraId="02A0420A" w14:textId="16916BD4" w:rsidR="00E14E3F" w:rsidRDefault="00E14E3F">
          <w:pPr>
            <w:pStyle w:val="TOC2"/>
            <w:rPr>
              <w:rFonts w:eastAsiaTheme="minorEastAsia"/>
              <w:noProof/>
              <w:sz w:val="24"/>
              <w:szCs w:val="24"/>
            </w:rPr>
          </w:pPr>
          <w:hyperlink w:anchor="_Toc212796773" w:history="1">
            <w:r w:rsidRPr="00BF36E8">
              <w:rPr>
                <w:rStyle w:val="Hyperlink"/>
                <w:rFonts w:cs="Times New Roman"/>
                <w:noProof/>
              </w:rPr>
              <w:t>Packaging Corporation of America (NYSE:PKG)</w:t>
            </w:r>
            <w:r>
              <w:rPr>
                <w:noProof/>
                <w:webHidden/>
              </w:rPr>
              <w:tab/>
            </w:r>
            <w:r>
              <w:rPr>
                <w:noProof/>
                <w:webHidden/>
              </w:rPr>
              <w:fldChar w:fldCharType="begin"/>
            </w:r>
            <w:r>
              <w:rPr>
                <w:noProof/>
                <w:webHidden/>
              </w:rPr>
              <w:instrText xml:space="preserve"> PAGEREF _Toc212796773 \h </w:instrText>
            </w:r>
            <w:r>
              <w:rPr>
                <w:noProof/>
                <w:webHidden/>
              </w:rPr>
            </w:r>
            <w:r>
              <w:rPr>
                <w:noProof/>
                <w:webHidden/>
              </w:rPr>
              <w:fldChar w:fldCharType="separate"/>
            </w:r>
            <w:r>
              <w:rPr>
                <w:noProof/>
                <w:webHidden/>
              </w:rPr>
              <w:t>39</w:t>
            </w:r>
            <w:r>
              <w:rPr>
                <w:noProof/>
                <w:webHidden/>
              </w:rPr>
              <w:fldChar w:fldCharType="end"/>
            </w:r>
          </w:hyperlink>
        </w:p>
        <w:p w14:paraId="59122BFC" w14:textId="012021F6" w:rsidR="00E14E3F" w:rsidRDefault="00E14E3F">
          <w:pPr>
            <w:pStyle w:val="TOC3"/>
            <w:tabs>
              <w:tab w:val="right" w:leader="dot" w:pos="9350"/>
            </w:tabs>
            <w:rPr>
              <w:rFonts w:eastAsiaTheme="minorEastAsia"/>
              <w:noProof/>
              <w:sz w:val="24"/>
              <w:szCs w:val="24"/>
            </w:rPr>
          </w:pPr>
          <w:hyperlink w:anchor="_Toc212796774" w:history="1">
            <w:r w:rsidRPr="00BF36E8">
              <w:rPr>
                <w:rStyle w:val="Hyperlink"/>
                <w:rFonts w:cs="Times New Roman"/>
                <w:noProof/>
              </w:rPr>
              <w:t xml:space="preserve">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_Toc212796774 \h </w:instrText>
            </w:r>
            <w:r>
              <w:rPr>
                <w:noProof/>
                <w:webHidden/>
              </w:rPr>
            </w:r>
            <w:r>
              <w:rPr>
                <w:noProof/>
                <w:webHidden/>
              </w:rPr>
              <w:fldChar w:fldCharType="separate"/>
            </w:r>
            <w:r>
              <w:rPr>
                <w:noProof/>
                <w:webHidden/>
              </w:rPr>
              <w:t>39</w:t>
            </w:r>
            <w:r>
              <w:rPr>
                <w:noProof/>
                <w:webHidden/>
              </w:rPr>
              <w:fldChar w:fldCharType="end"/>
            </w:r>
          </w:hyperlink>
        </w:p>
        <w:p w14:paraId="292E3ECA" w14:textId="115926D1" w:rsidR="00E14E3F" w:rsidRDefault="00E14E3F">
          <w:pPr>
            <w:pStyle w:val="TOC3"/>
            <w:tabs>
              <w:tab w:val="right" w:leader="dot" w:pos="9350"/>
            </w:tabs>
            <w:rPr>
              <w:rFonts w:eastAsiaTheme="minorEastAsia"/>
              <w:noProof/>
              <w:sz w:val="24"/>
              <w:szCs w:val="24"/>
            </w:rPr>
          </w:pPr>
          <w:hyperlink w:anchor="_Toc212796775"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_Toc212796775 \h </w:instrText>
            </w:r>
            <w:r>
              <w:rPr>
                <w:noProof/>
                <w:webHidden/>
              </w:rPr>
            </w:r>
            <w:r>
              <w:rPr>
                <w:noProof/>
                <w:webHidden/>
              </w:rPr>
              <w:fldChar w:fldCharType="separate"/>
            </w:r>
            <w:r>
              <w:rPr>
                <w:noProof/>
                <w:webHidden/>
              </w:rPr>
              <w:t>39</w:t>
            </w:r>
            <w:r>
              <w:rPr>
                <w:noProof/>
                <w:webHidden/>
              </w:rPr>
              <w:fldChar w:fldCharType="end"/>
            </w:r>
          </w:hyperlink>
        </w:p>
        <w:p w14:paraId="6E2B8680" w14:textId="4EED30AE" w:rsidR="00E14E3F" w:rsidRDefault="00E14E3F">
          <w:pPr>
            <w:pStyle w:val="TOC2"/>
            <w:rPr>
              <w:rFonts w:eastAsiaTheme="minorEastAsia"/>
              <w:noProof/>
              <w:sz w:val="24"/>
              <w:szCs w:val="24"/>
            </w:rPr>
          </w:pPr>
          <w:hyperlink w:anchor="_Toc212796776" w:history="1">
            <w:r w:rsidRPr="00BF36E8">
              <w:rPr>
                <w:rStyle w:val="Hyperlink"/>
                <w:rFonts w:cs="Times New Roman"/>
                <w:noProof/>
              </w:rPr>
              <w:t>Pilgrim’s Pride Corporation (NASDAQGS:PPC)</w:t>
            </w:r>
            <w:r>
              <w:rPr>
                <w:noProof/>
                <w:webHidden/>
              </w:rPr>
              <w:tab/>
            </w:r>
            <w:r>
              <w:rPr>
                <w:noProof/>
                <w:webHidden/>
              </w:rPr>
              <w:fldChar w:fldCharType="begin"/>
            </w:r>
            <w:r>
              <w:rPr>
                <w:noProof/>
                <w:webHidden/>
              </w:rPr>
              <w:instrText xml:space="preserve"> PAGEREF _Toc212796776 \h </w:instrText>
            </w:r>
            <w:r>
              <w:rPr>
                <w:noProof/>
                <w:webHidden/>
              </w:rPr>
            </w:r>
            <w:r>
              <w:rPr>
                <w:noProof/>
                <w:webHidden/>
              </w:rPr>
              <w:fldChar w:fldCharType="separate"/>
            </w:r>
            <w:r>
              <w:rPr>
                <w:noProof/>
                <w:webHidden/>
              </w:rPr>
              <w:t>41</w:t>
            </w:r>
            <w:r>
              <w:rPr>
                <w:noProof/>
                <w:webHidden/>
              </w:rPr>
              <w:fldChar w:fldCharType="end"/>
            </w:r>
          </w:hyperlink>
        </w:p>
        <w:p w14:paraId="16D3C268" w14:textId="272D8950" w:rsidR="00E14E3F" w:rsidRDefault="00E14E3F">
          <w:pPr>
            <w:pStyle w:val="TOC3"/>
            <w:tabs>
              <w:tab w:val="right" w:leader="dot" w:pos="9350"/>
            </w:tabs>
            <w:rPr>
              <w:rFonts w:eastAsiaTheme="minorEastAsia"/>
              <w:noProof/>
              <w:sz w:val="24"/>
              <w:szCs w:val="24"/>
            </w:rPr>
          </w:pPr>
          <w:hyperlink w:anchor="_Toc212796777" w:history="1">
            <w:r w:rsidRPr="00BF36E8">
              <w:rPr>
                <w:rStyle w:val="Hyperlink"/>
                <w:rFonts w:cs="Times New Roman"/>
                <w:noProof/>
              </w:rPr>
              <w:t xml:space="preserve">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_Toc212796777 \h </w:instrText>
            </w:r>
            <w:r>
              <w:rPr>
                <w:noProof/>
                <w:webHidden/>
              </w:rPr>
            </w:r>
            <w:r>
              <w:rPr>
                <w:noProof/>
                <w:webHidden/>
              </w:rPr>
              <w:fldChar w:fldCharType="separate"/>
            </w:r>
            <w:r>
              <w:rPr>
                <w:noProof/>
                <w:webHidden/>
              </w:rPr>
              <w:t>41</w:t>
            </w:r>
            <w:r>
              <w:rPr>
                <w:noProof/>
                <w:webHidden/>
              </w:rPr>
              <w:fldChar w:fldCharType="end"/>
            </w:r>
          </w:hyperlink>
        </w:p>
        <w:p w14:paraId="54D5C474" w14:textId="3AFB7D4C" w:rsidR="00E14E3F" w:rsidRDefault="00E14E3F">
          <w:pPr>
            <w:pStyle w:val="TOC3"/>
            <w:tabs>
              <w:tab w:val="right" w:leader="dot" w:pos="9350"/>
            </w:tabs>
            <w:rPr>
              <w:rFonts w:eastAsiaTheme="minorEastAsia"/>
              <w:noProof/>
              <w:sz w:val="24"/>
              <w:szCs w:val="24"/>
            </w:rPr>
          </w:pPr>
          <w:hyperlink w:anchor="_Toc212796778"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_Toc212796778 \h </w:instrText>
            </w:r>
            <w:r>
              <w:rPr>
                <w:noProof/>
                <w:webHidden/>
              </w:rPr>
            </w:r>
            <w:r>
              <w:rPr>
                <w:noProof/>
                <w:webHidden/>
              </w:rPr>
              <w:fldChar w:fldCharType="separate"/>
            </w:r>
            <w:r>
              <w:rPr>
                <w:noProof/>
                <w:webHidden/>
              </w:rPr>
              <w:t>41</w:t>
            </w:r>
            <w:r>
              <w:rPr>
                <w:noProof/>
                <w:webHidden/>
              </w:rPr>
              <w:fldChar w:fldCharType="end"/>
            </w:r>
          </w:hyperlink>
        </w:p>
        <w:p w14:paraId="27DE8A95" w14:textId="4939E124" w:rsidR="00E14E3F" w:rsidRDefault="00E14E3F">
          <w:pPr>
            <w:pStyle w:val="TOC2"/>
            <w:rPr>
              <w:rFonts w:eastAsiaTheme="minorEastAsia"/>
              <w:noProof/>
              <w:sz w:val="24"/>
              <w:szCs w:val="24"/>
            </w:rPr>
          </w:pPr>
          <w:hyperlink w:anchor="_Toc212796779" w:history="1">
            <w:r w:rsidRPr="00BF36E8">
              <w:rPr>
                <w:rStyle w:val="Hyperlink"/>
                <w:rFonts w:cs="Times New Roman"/>
                <w:noProof/>
              </w:rPr>
              <w:t>PPG Industries, Inc. (NYSE:PPG)</w:t>
            </w:r>
            <w:r>
              <w:rPr>
                <w:noProof/>
                <w:webHidden/>
              </w:rPr>
              <w:tab/>
            </w:r>
            <w:r>
              <w:rPr>
                <w:noProof/>
                <w:webHidden/>
              </w:rPr>
              <w:fldChar w:fldCharType="begin"/>
            </w:r>
            <w:r>
              <w:rPr>
                <w:noProof/>
                <w:webHidden/>
              </w:rPr>
              <w:instrText xml:space="preserve"> PAGEREF _Toc212796779 \h </w:instrText>
            </w:r>
            <w:r>
              <w:rPr>
                <w:noProof/>
                <w:webHidden/>
              </w:rPr>
            </w:r>
            <w:r>
              <w:rPr>
                <w:noProof/>
                <w:webHidden/>
              </w:rPr>
              <w:fldChar w:fldCharType="separate"/>
            </w:r>
            <w:r>
              <w:rPr>
                <w:noProof/>
                <w:webHidden/>
              </w:rPr>
              <w:t>43</w:t>
            </w:r>
            <w:r>
              <w:rPr>
                <w:noProof/>
                <w:webHidden/>
              </w:rPr>
              <w:fldChar w:fldCharType="end"/>
            </w:r>
          </w:hyperlink>
        </w:p>
        <w:p w14:paraId="1F7733F2" w14:textId="3CEF8AED" w:rsidR="00E14E3F" w:rsidRDefault="00E14E3F">
          <w:pPr>
            <w:pStyle w:val="TOC3"/>
            <w:tabs>
              <w:tab w:val="right" w:leader="dot" w:pos="9350"/>
            </w:tabs>
            <w:rPr>
              <w:rFonts w:eastAsiaTheme="minorEastAsia"/>
              <w:noProof/>
              <w:sz w:val="24"/>
              <w:szCs w:val="24"/>
            </w:rPr>
          </w:pPr>
          <w:hyperlink w:anchor="_Toc212796780" w:history="1">
            <w:r w:rsidRPr="00BF36E8">
              <w:rPr>
                <w:rStyle w:val="Hyperlink"/>
                <w:rFonts w:cs="Times New Roman"/>
                <w:noProof/>
              </w:rPr>
              <w:t xml:space="preserve">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_Toc212796780 \h </w:instrText>
            </w:r>
            <w:r>
              <w:rPr>
                <w:noProof/>
                <w:webHidden/>
              </w:rPr>
            </w:r>
            <w:r>
              <w:rPr>
                <w:noProof/>
                <w:webHidden/>
              </w:rPr>
              <w:fldChar w:fldCharType="separate"/>
            </w:r>
            <w:r>
              <w:rPr>
                <w:noProof/>
                <w:webHidden/>
              </w:rPr>
              <w:t>43</w:t>
            </w:r>
            <w:r>
              <w:rPr>
                <w:noProof/>
                <w:webHidden/>
              </w:rPr>
              <w:fldChar w:fldCharType="end"/>
            </w:r>
          </w:hyperlink>
        </w:p>
        <w:p w14:paraId="3B109F22" w14:textId="4EA30196" w:rsidR="00E14E3F" w:rsidRDefault="00E14E3F">
          <w:pPr>
            <w:pStyle w:val="TOC3"/>
            <w:tabs>
              <w:tab w:val="right" w:leader="dot" w:pos="9350"/>
            </w:tabs>
            <w:rPr>
              <w:rFonts w:eastAsiaTheme="minorEastAsia"/>
              <w:noProof/>
              <w:sz w:val="24"/>
              <w:szCs w:val="24"/>
            </w:rPr>
          </w:pPr>
          <w:hyperlink w:anchor="_Toc212796781"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_Toc212796781 \h </w:instrText>
            </w:r>
            <w:r>
              <w:rPr>
                <w:noProof/>
                <w:webHidden/>
              </w:rPr>
            </w:r>
            <w:r>
              <w:rPr>
                <w:noProof/>
                <w:webHidden/>
              </w:rPr>
              <w:fldChar w:fldCharType="separate"/>
            </w:r>
            <w:r>
              <w:rPr>
                <w:noProof/>
                <w:webHidden/>
              </w:rPr>
              <w:t>43</w:t>
            </w:r>
            <w:r>
              <w:rPr>
                <w:noProof/>
                <w:webHidden/>
              </w:rPr>
              <w:fldChar w:fldCharType="end"/>
            </w:r>
          </w:hyperlink>
        </w:p>
        <w:p w14:paraId="07B5BB7D" w14:textId="0A53993A" w:rsidR="00E14E3F" w:rsidRDefault="00E14E3F">
          <w:pPr>
            <w:pStyle w:val="TOC2"/>
            <w:rPr>
              <w:rFonts w:eastAsiaTheme="minorEastAsia"/>
              <w:noProof/>
              <w:sz w:val="24"/>
              <w:szCs w:val="24"/>
            </w:rPr>
          </w:pPr>
          <w:hyperlink w:anchor="_Toc212796782" w:history="1">
            <w:r w:rsidRPr="00BF36E8">
              <w:rPr>
                <w:rStyle w:val="Hyperlink"/>
                <w:rFonts w:cs="Times New Roman"/>
                <w:noProof/>
              </w:rPr>
              <w:t>Smurfit WestRock PLC (NYSE:SW)</w:t>
            </w:r>
            <w:r>
              <w:rPr>
                <w:noProof/>
                <w:webHidden/>
              </w:rPr>
              <w:tab/>
            </w:r>
            <w:r>
              <w:rPr>
                <w:noProof/>
                <w:webHidden/>
              </w:rPr>
              <w:fldChar w:fldCharType="begin"/>
            </w:r>
            <w:r>
              <w:rPr>
                <w:noProof/>
                <w:webHidden/>
              </w:rPr>
              <w:instrText xml:space="preserve"> PAGEREF _Toc212796782 \h </w:instrText>
            </w:r>
            <w:r>
              <w:rPr>
                <w:noProof/>
                <w:webHidden/>
              </w:rPr>
            </w:r>
            <w:r>
              <w:rPr>
                <w:noProof/>
                <w:webHidden/>
              </w:rPr>
              <w:fldChar w:fldCharType="separate"/>
            </w:r>
            <w:r>
              <w:rPr>
                <w:noProof/>
                <w:webHidden/>
              </w:rPr>
              <w:t>45</w:t>
            </w:r>
            <w:r>
              <w:rPr>
                <w:noProof/>
                <w:webHidden/>
              </w:rPr>
              <w:fldChar w:fldCharType="end"/>
            </w:r>
          </w:hyperlink>
        </w:p>
        <w:p w14:paraId="61E65F9C" w14:textId="19A7BDEA" w:rsidR="00E14E3F" w:rsidRDefault="00E14E3F">
          <w:pPr>
            <w:pStyle w:val="TOC3"/>
            <w:tabs>
              <w:tab w:val="right" w:leader="dot" w:pos="9350"/>
            </w:tabs>
            <w:rPr>
              <w:rFonts w:eastAsiaTheme="minorEastAsia"/>
              <w:noProof/>
              <w:sz w:val="24"/>
              <w:szCs w:val="24"/>
            </w:rPr>
          </w:pPr>
          <w:hyperlink w:anchor="_Toc212796783"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_Toc212796783 \h </w:instrText>
            </w:r>
            <w:r>
              <w:rPr>
                <w:noProof/>
                <w:webHidden/>
              </w:rPr>
            </w:r>
            <w:r>
              <w:rPr>
                <w:noProof/>
                <w:webHidden/>
              </w:rPr>
              <w:fldChar w:fldCharType="separate"/>
            </w:r>
            <w:r>
              <w:rPr>
                <w:noProof/>
                <w:webHidden/>
              </w:rPr>
              <w:t>45</w:t>
            </w:r>
            <w:r>
              <w:rPr>
                <w:noProof/>
                <w:webHidden/>
              </w:rPr>
              <w:fldChar w:fldCharType="end"/>
            </w:r>
          </w:hyperlink>
        </w:p>
        <w:p w14:paraId="5DEEBC29" w14:textId="10B14104" w:rsidR="00E14E3F" w:rsidRDefault="00E14E3F">
          <w:pPr>
            <w:pStyle w:val="TOC3"/>
            <w:tabs>
              <w:tab w:val="right" w:leader="dot" w:pos="9350"/>
            </w:tabs>
            <w:rPr>
              <w:rFonts w:eastAsiaTheme="minorEastAsia"/>
              <w:noProof/>
              <w:sz w:val="24"/>
              <w:szCs w:val="24"/>
            </w:rPr>
          </w:pPr>
          <w:hyperlink w:anchor="_Toc212796784" w:history="1">
            <w:r w:rsidRPr="00BF36E8">
              <w:rPr>
                <w:rStyle w:val="Hyperlink"/>
                <w:rFonts w:cs="Times New Roman"/>
                <w:noProof/>
              </w:rPr>
              <w:t>AL Outlook: Neutral</w:t>
            </w:r>
            <w:r>
              <w:rPr>
                <w:noProof/>
                <w:webHidden/>
              </w:rPr>
              <w:tab/>
            </w:r>
            <w:r>
              <w:rPr>
                <w:noProof/>
                <w:webHidden/>
              </w:rPr>
              <w:fldChar w:fldCharType="begin"/>
            </w:r>
            <w:r>
              <w:rPr>
                <w:noProof/>
                <w:webHidden/>
              </w:rPr>
              <w:instrText xml:space="preserve"> PAGEREF _Toc212796784 \h </w:instrText>
            </w:r>
            <w:r>
              <w:rPr>
                <w:noProof/>
                <w:webHidden/>
              </w:rPr>
            </w:r>
            <w:r>
              <w:rPr>
                <w:noProof/>
                <w:webHidden/>
              </w:rPr>
              <w:fldChar w:fldCharType="separate"/>
            </w:r>
            <w:r>
              <w:rPr>
                <w:noProof/>
                <w:webHidden/>
              </w:rPr>
              <w:t>45</w:t>
            </w:r>
            <w:r>
              <w:rPr>
                <w:noProof/>
                <w:webHidden/>
              </w:rPr>
              <w:fldChar w:fldCharType="end"/>
            </w:r>
          </w:hyperlink>
        </w:p>
        <w:p w14:paraId="2AB55E97" w14:textId="5FD21CFE" w:rsidR="00E14E3F" w:rsidRDefault="00E14E3F">
          <w:pPr>
            <w:pStyle w:val="TOC2"/>
            <w:rPr>
              <w:rFonts w:eastAsiaTheme="minorEastAsia"/>
              <w:noProof/>
              <w:sz w:val="24"/>
              <w:szCs w:val="24"/>
            </w:rPr>
          </w:pPr>
          <w:hyperlink w:anchor="_Toc212796785" w:history="1">
            <w:r w:rsidRPr="00BF36E8">
              <w:rPr>
                <w:rStyle w:val="Hyperlink"/>
                <w:rFonts w:cs="Times New Roman"/>
                <w:noProof/>
              </w:rPr>
              <w:t>Sonoco Products Company (NYSE:SON)</w:t>
            </w:r>
            <w:r>
              <w:rPr>
                <w:noProof/>
                <w:webHidden/>
              </w:rPr>
              <w:tab/>
            </w:r>
            <w:r>
              <w:rPr>
                <w:noProof/>
                <w:webHidden/>
              </w:rPr>
              <w:fldChar w:fldCharType="begin"/>
            </w:r>
            <w:r>
              <w:rPr>
                <w:noProof/>
                <w:webHidden/>
              </w:rPr>
              <w:instrText xml:space="preserve"> PAGEREF _Toc212796785 \h </w:instrText>
            </w:r>
            <w:r>
              <w:rPr>
                <w:noProof/>
                <w:webHidden/>
              </w:rPr>
            </w:r>
            <w:r>
              <w:rPr>
                <w:noProof/>
                <w:webHidden/>
              </w:rPr>
              <w:fldChar w:fldCharType="separate"/>
            </w:r>
            <w:r>
              <w:rPr>
                <w:noProof/>
                <w:webHidden/>
              </w:rPr>
              <w:t>47</w:t>
            </w:r>
            <w:r>
              <w:rPr>
                <w:noProof/>
                <w:webHidden/>
              </w:rPr>
              <w:fldChar w:fldCharType="end"/>
            </w:r>
          </w:hyperlink>
        </w:p>
        <w:p w14:paraId="0AFA9DB3" w14:textId="4D20837A" w:rsidR="00E14E3F" w:rsidRDefault="00E14E3F">
          <w:pPr>
            <w:pStyle w:val="TOC3"/>
            <w:tabs>
              <w:tab w:val="right" w:leader="dot" w:pos="9350"/>
            </w:tabs>
            <w:rPr>
              <w:rFonts w:eastAsiaTheme="minorEastAsia"/>
              <w:noProof/>
              <w:sz w:val="24"/>
              <w:szCs w:val="24"/>
            </w:rPr>
          </w:pPr>
          <w:hyperlink w:anchor="_Toc212796786" w:history="1">
            <w:r w:rsidRPr="00BF36E8">
              <w:rPr>
                <w:rStyle w:val="Hyperlink"/>
                <w:rFonts w:cs="Times New Roman"/>
                <w:noProof/>
              </w:rPr>
              <w:t xml:space="preserve">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_Toc212796786 \h </w:instrText>
            </w:r>
            <w:r>
              <w:rPr>
                <w:noProof/>
                <w:webHidden/>
              </w:rPr>
            </w:r>
            <w:r>
              <w:rPr>
                <w:noProof/>
                <w:webHidden/>
              </w:rPr>
              <w:fldChar w:fldCharType="separate"/>
            </w:r>
            <w:r>
              <w:rPr>
                <w:noProof/>
                <w:webHidden/>
              </w:rPr>
              <w:t>47</w:t>
            </w:r>
            <w:r>
              <w:rPr>
                <w:noProof/>
                <w:webHidden/>
              </w:rPr>
              <w:fldChar w:fldCharType="end"/>
            </w:r>
          </w:hyperlink>
        </w:p>
        <w:p w14:paraId="4B80A382" w14:textId="636F4BC0" w:rsidR="00E14E3F" w:rsidRDefault="00E14E3F">
          <w:pPr>
            <w:pStyle w:val="TOC3"/>
            <w:tabs>
              <w:tab w:val="right" w:leader="dot" w:pos="9350"/>
            </w:tabs>
            <w:rPr>
              <w:rFonts w:eastAsiaTheme="minorEastAsia"/>
              <w:noProof/>
              <w:sz w:val="24"/>
              <w:szCs w:val="24"/>
            </w:rPr>
          </w:pPr>
          <w:hyperlink w:anchor="_Toc212796787"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_Toc212796787 \h </w:instrText>
            </w:r>
            <w:r>
              <w:rPr>
                <w:noProof/>
                <w:webHidden/>
              </w:rPr>
            </w:r>
            <w:r>
              <w:rPr>
                <w:noProof/>
                <w:webHidden/>
              </w:rPr>
              <w:fldChar w:fldCharType="separate"/>
            </w:r>
            <w:r>
              <w:rPr>
                <w:noProof/>
                <w:webHidden/>
              </w:rPr>
              <w:t>47</w:t>
            </w:r>
            <w:r>
              <w:rPr>
                <w:noProof/>
                <w:webHidden/>
              </w:rPr>
              <w:fldChar w:fldCharType="end"/>
            </w:r>
          </w:hyperlink>
        </w:p>
        <w:p w14:paraId="210D9702" w14:textId="5BD8F348" w:rsidR="00E14E3F" w:rsidRDefault="00E14E3F">
          <w:pPr>
            <w:pStyle w:val="TOC2"/>
            <w:rPr>
              <w:rFonts w:eastAsiaTheme="minorEastAsia"/>
              <w:noProof/>
              <w:sz w:val="24"/>
              <w:szCs w:val="24"/>
            </w:rPr>
          </w:pPr>
          <w:hyperlink w:anchor="_Toc212796788" w:history="1">
            <w:r w:rsidRPr="00BF36E8">
              <w:rPr>
                <w:rStyle w:val="Hyperlink"/>
                <w:rFonts w:cs="Times New Roman"/>
                <w:noProof/>
              </w:rPr>
              <w:t>Sumco Corporation (TSE:3436)</w:t>
            </w:r>
            <w:r>
              <w:rPr>
                <w:noProof/>
                <w:webHidden/>
              </w:rPr>
              <w:tab/>
            </w:r>
            <w:r>
              <w:rPr>
                <w:noProof/>
                <w:webHidden/>
              </w:rPr>
              <w:fldChar w:fldCharType="begin"/>
            </w:r>
            <w:r>
              <w:rPr>
                <w:noProof/>
                <w:webHidden/>
              </w:rPr>
              <w:instrText xml:space="preserve"> PAGEREF _Toc212796788 \h </w:instrText>
            </w:r>
            <w:r>
              <w:rPr>
                <w:noProof/>
                <w:webHidden/>
              </w:rPr>
            </w:r>
            <w:r>
              <w:rPr>
                <w:noProof/>
                <w:webHidden/>
              </w:rPr>
              <w:fldChar w:fldCharType="separate"/>
            </w:r>
            <w:r>
              <w:rPr>
                <w:noProof/>
                <w:webHidden/>
              </w:rPr>
              <w:t>49</w:t>
            </w:r>
            <w:r>
              <w:rPr>
                <w:noProof/>
                <w:webHidden/>
              </w:rPr>
              <w:fldChar w:fldCharType="end"/>
            </w:r>
          </w:hyperlink>
        </w:p>
        <w:p w14:paraId="2166E6F8" w14:textId="0B03C6F3" w:rsidR="00E14E3F" w:rsidRDefault="00E14E3F">
          <w:pPr>
            <w:pStyle w:val="TOC3"/>
            <w:tabs>
              <w:tab w:val="right" w:leader="dot" w:pos="9350"/>
            </w:tabs>
            <w:rPr>
              <w:rFonts w:eastAsiaTheme="minorEastAsia"/>
              <w:noProof/>
              <w:sz w:val="24"/>
              <w:szCs w:val="24"/>
            </w:rPr>
          </w:pPr>
          <w:hyperlink w:anchor="_Toc212796789" w:history="1">
            <w:r w:rsidRPr="00BF36E8">
              <w:rPr>
                <w:rStyle w:val="Hyperlink"/>
                <w:rFonts w:cs="Times New Roman"/>
                <w:noProof/>
              </w:rPr>
              <w:t xml:space="preserve">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_Toc212796789 \h </w:instrText>
            </w:r>
            <w:r>
              <w:rPr>
                <w:noProof/>
                <w:webHidden/>
              </w:rPr>
            </w:r>
            <w:r>
              <w:rPr>
                <w:noProof/>
                <w:webHidden/>
              </w:rPr>
              <w:fldChar w:fldCharType="separate"/>
            </w:r>
            <w:r>
              <w:rPr>
                <w:noProof/>
                <w:webHidden/>
              </w:rPr>
              <w:t>49</w:t>
            </w:r>
            <w:r>
              <w:rPr>
                <w:noProof/>
                <w:webHidden/>
              </w:rPr>
              <w:fldChar w:fldCharType="end"/>
            </w:r>
          </w:hyperlink>
        </w:p>
        <w:p w14:paraId="03B77743" w14:textId="70932FDA" w:rsidR="00E14E3F" w:rsidRDefault="00E14E3F">
          <w:pPr>
            <w:pStyle w:val="TOC3"/>
            <w:tabs>
              <w:tab w:val="right" w:leader="dot" w:pos="9350"/>
            </w:tabs>
            <w:rPr>
              <w:rFonts w:eastAsiaTheme="minorEastAsia"/>
              <w:noProof/>
              <w:sz w:val="24"/>
              <w:szCs w:val="24"/>
            </w:rPr>
          </w:pPr>
          <w:hyperlink w:anchor="_Toc212796790"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_Toc212796790 \h </w:instrText>
            </w:r>
            <w:r>
              <w:rPr>
                <w:noProof/>
                <w:webHidden/>
              </w:rPr>
            </w:r>
            <w:r>
              <w:rPr>
                <w:noProof/>
                <w:webHidden/>
              </w:rPr>
              <w:fldChar w:fldCharType="separate"/>
            </w:r>
            <w:r>
              <w:rPr>
                <w:noProof/>
                <w:webHidden/>
              </w:rPr>
              <w:t>49</w:t>
            </w:r>
            <w:r>
              <w:rPr>
                <w:noProof/>
                <w:webHidden/>
              </w:rPr>
              <w:fldChar w:fldCharType="end"/>
            </w:r>
          </w:hyperlink>
        </w:p>
        <w:p w14:paraId="3066FD8A" w14:textId="5C0292B8" w:rsidR="00E14E3F" w:rsidRDefault="00E14E3F">
          <w:pPr>
            <w:pStyle w:val="TOC2"/>
            <w:rPr>
              <w:rFonts w:eastAsiaTheme="minorEastAsia"/>
              <w:noProof/>
              <w:sz w:val="24"/>
              <w:szCs w:val="24"/>
            </w:rPr>
          </w:pPr>
          <w:hyperlink w:anchor="_Toc212796791" w:history="1">
            <w:r w:rsidRPr="00BF36E8">
              <w:rPr>
                <w:rStyle w:val="Hyperlink"/>
                <w:rFonts w:cs="Times New Roman"/>
                <w:noProof/>
              </w:rPr>
              <w:t>Tyson Foods Inc. (NYSE:TSN)</w:t>
            </w:r>
            <w:r>
              <w:rPr>
                <w:noProof/>
                <w:webHidden/>
              </w:rPr>
              <w:tab/>
            </w:r>
            <w:r>
              <w:rPr>
                <w:noProof/>
                <w:webHidden/>
              </w:rPr>
              <w:fldChar w:fldCharType="begin"/>
            </w:r>
            <w:r>
              <w:rPr>
                <w:noProof/>
                <w:webHidden/>
              </w:rPr>
              <w:instrText xml:space="preserve"> PAGEREF _Toc212796791 \h </w:instrText>
            </w:r>
            <w:r>
              <w:rPr>
                <w:noProof/>
                <w:webHidden/>
              </w:rPr>
            </w:r>
            <w:r>
              <w:rPr>
                <w:noProof/>
                <w:webHidden/>
              </w:rPr>
              <w:fldChar w:fldCharType="separate"/>
            </w:r>
            <w:r>
              <w:rPr>
                <w:noProof/>
                <w:webHidden/>
              </w:rPr>
              <w:t>51</w:t>
            </w:r>
            <w:r>
              <w:rPr>
                <w:noProof/>
                <w:webHidden/>
              </w:rPr>
              <w:fldChar w:fldCharType="end"/>
            </w:r>
          </w:hyperlink>
        </w:p>
        <w:p w14:paraId="7A195372" w14:textId="0E531F38" w:rsidR="00E14E3F" w:rsidRDefault="00E14E3F">
          <w:pPr>
            <w:pStyle w:val="TOC3"/>
            <w:tabs>
              <w:tab w:val="right" w:leader="dot" w:pos="9350"/>
            </w:tabs>
            <w:rPr>
              <w:rFonts w:eastAsiaTheme="minorEastAsia"/>
              <w:noProof/>
              <w:sz w:val="24"/>
              <w:szCs w:val="24"/>
            </w:rPr>
          </w:pPr>
          <w:hyperlink w:anchor="_Toc212796792" w:history="1">
            <w:r w:rsidRPr="00BF36E8">
              <w:rPr>
                <w:rStyle w:val="Hyperlink"/>
                <w:rFonts w:cs="Times New Roman"/>
                <w:noProof/>
              </w:rPr>
              <w:t xml:space="preserve">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_Toc212796792 \h </w:instrText>
            </w:r>
            <w:r>
              <w:rPr>
                <w:noProof/>
                <w:webHidden/>
              </w:rPr>
            </w:r>
            <w:r>
              <w:rPr>
                <w:noProof/>
                <w:webHidden/>
              </w:rPr>
              <w:fldChar w:fldCharType="separate"/>
            </w:r>
            <w:r>
              <w:rPr>
                <w:noProof/>
                <w:webHidden/>
              </w:rPr>
              <w:t>51</w:t>
            </w:r>
            <w:r>
              <w:rPr>
                <w:noProof/>
                <w:webHidden/>
              </w:rPr>
              <w:fldChar w:fldCharType="end"/>
            </w:r>
          </w:hyperlink>
        </w:p>
        <w:p w14:paraId="38A34516" w14:textId="51D616EB" w:rsidR="00E14E3F" w:rsidRDefault="00E14E3F">
          <w:pPr>
            <w:pStyle w:val="TOC3"/>
            <w:tabs>
              <w:tab w:val="right" w:leader="dot" w:pos="9350"/>
            </w:tabs>
            <w:rPr>
              <w:rFonts w:eastAsiaTheme="minorEastAsia"/>
              <w:noProof/>
              <w:sz w:val="24"/>
              <w:szCs w:val="24"/>
            </w:rPr>
          </w:pPr>
          <w:hyperlink w:anchor="_Toc212796793"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_Toc212796793 \h </w:instrText>
            </w:r>
            <w:r>
              <w:rPr>
                <w:noProof/>
                <w:webHidden/>
              </w:rPr>
            </w:r>
            <w:r>
              <w:rPr>
                <w:noProof/>
                <w:webHidden/>
              </w:rPr>
              <w:fldChar w:fldCharType="separate"/>
            </w:r>
            <w:r>
              <w:rPr>
                <w:noProof/>
                <w:webHidden/>
              </w:rPr>
              <w:t>51</w:t>
            </w:r>
            <w:r>
              <w:rPr>
                <w:noProof/>
                <w:webHidden/>
              </w:rPr>
              <w:fldChar w:fldCharType="end"/>
            </w:r>
          </w:hyperlink>
        </w:p>
        <w:p w14:paraId="6A9E1C74" w14:textId="563E499C" w:rsidR="00E14E3F" w:rsidRDefault="00E14E3F">
          <w:pPr>
            <w:pStyle w:val="TOC2"/>
            <w:rPr>
              <w:rFonts w:eastAsiaTheme="minorEastAsia"/>
              <w:noProof/>
              <w:sz w:val="24"/>
              <w:szCs w:val="24"/>
            </w:rPr>
          </w:pPr>
          <w:hyperlink w:anchor="_Toc212796794" w:history="1">
            <w:r w:rsidRPr="00BF36E8">
              <w:rPr>
                <w:rStyle w:val="Hyperlink"/>
                <w:rFonts w:cs="Times New Roman"/>
                <w:noProof/>
              </w:rPr>
              <w:t>West Fraser Timber Co. Ltd. (TSX:WFG)</w:t>
            </w:r>
            <w:r>
              <w:rPr>
                <w:noProof/>
                <w:webHidden/>
              </w:rPr>
              <w:tab/>
            </w:r>
            <w:r>
              <w:rPr>
                <w:noProof/>
                <w:webHidden/>
              </w:rPr>
              <w:fldChar w:fldCharType="begin"/>
            </w:r>
            <w:r>
              <w:rPr>
                <w:noProof/>
                <w:webHidden/>
              </w:rPr>
              <w:instrText xml:space="preserve"> PAGEREF _Toc212796794 \h </w:instrText>
            </w:r>
            <w:r>
              <w:rPr>
                <w:noProof/>
                <w:webHidden/>
              </w:rPr>
            </w:r>
            <w:r>
              <w:rPr>
                <w:noProof/>
                <w:webHidden/>
              </w:rPr>
              <w:fldChar w:fldCharType="separate"/>
            </w:r>
            <w:r>
              <w:rPr>
                <w:noProof/>
                <w:webHidden/>
              </w:rPr>
              <w:t>53</w:t>
            </w:r>
            <w:r>
              <w:rPr>
                <w:noProof/>
                <w:webHidden/>
              </w:rPr>
              <w:fldChar w:fldCharType="end"/>
            </w:r>
          </w:hyperlink>
        </w:p>
        <w:p w14:paraId="4EB68893" w14:textId="01FF72C6" w:rsidR="00E14E3F" w:rsidRDefault="00E14E3F">
          <w:pPr>
            <w:pStyle w:val="TOC3"/>
            <w:tabs>
              <w:tab w:val="right" w:leader="dot" w:pos="9350"/>
            </w:tabs>
            <w:rPr>
              <w:rFonts w:eastAsiaTheme="minorEastAsia"/>
              <w:noProof/>
              <w:sz w:val="24"/>
              <w:szCs w:val="24"/>
            </w:rPr>
          </w:pPr>
          <w:hyperlink w:anchor="_Toc212796795"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_Toc212796795 \h </w:instrText>
            </w:r>
            <w:r>
              <w:rPr>
                <w:noProof/>
                <w:webHidden/>
              </w:rPr>
            </w:r>
            <w:r>
              <w:rPr>
                <w:noProof/>
                <w:webHidden/>
              </w:rPr>
              <w:fldChar w:fldCharType="separate"/>
            </w:r>
            <w:r>
              <w:rPr>
                <w:noProof/>
                <w:webHidden/>
              </w:rPr>
              <w:t>53</w:t>
            </w:r>
            <w:r>
              <w:rPr>
                <w:noProof/>
                <w:webHidden/>
              </w:rPr>
              <w:fldChar w:fldCharType="end"/>
            </w:r>
          </w:hyperlink>
        </w:p>
        <w:p w14:paraId="4BA24199" w14:textId="7AD6C6A2" w:rsidR="00E14E3F" w:rsidRDefault="00E14E3F">
          <w:pPr>
            <w:pStyle w:val="TOC3"/>
            <w:tabs>
              <w:tab w:val="right" w:leader="dot" w:pos="9350"/>
            </w:tabs>
            <w:rPr>
              <w:rFonts w:eastAsiaTheme="minorEastAsia"/>
              <w:noProof/>
              <w:sz w:val="24"/>
              <w:szCs w:val="24"/>
            </w:rPr>
          </w:pPr>
          <w:hyperlink w:anchor="_Toc212796796"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_Toc212796796 \h </w:instrText>
            </w:r>
            <w:r>
              <w:rPr>
                <w:noProof/>
                <w:webHidden/>
              </w:rPr>
            </w:r>
            <w:r>
              <w:rPr>
                <w:noProof/>
                <w:webHidden/>
              </w:rPr>
              <w:fldChar w:fldCharType="separate"/>
            </w:r>
            <w:r>
              <w:rPr>
                <w:noProof/>
                <w:webHidden/>
              </w:rPr>
              <w:t>53</w:t>
            </w:r>
            <w:r>
              <w:rPr>
                <w:noProof/>
                <w:webHidden/>
              </w:rPr>
              <w:fldChar w:fldCharType="end"/>
            </w:r>
          </w:hyperlink>
        </w:p>
        <w:p w14:paraId="2ABB6E63" w14:textId="3B88FC21" w:rsidR="00E14E3F" w:rsidRDefault="00E14E3F">
          <w:pPr>
            <w:pStyle w:val="TOC2"/>
            <w:rPr>
              <w:rFonts w:eastAsiaTheme="minorEastAsia"/>
              <w:noProof/>
              <w:sz w:val="24"/>
              <w:szCs w:val="24"/>
            </w:rPr>
          </w:pPr>
          <w:hyperlink w:anchor="_Toc212796797" w:history="1">
            <w:r w:rsidRPr="00BF36E8">
              <w:rPr>
                <w:rStyle w:val="Hyperlink"/>
                <w:rFonts w:cs="Times New Roman"/>
                <w:noProof/>
              </w:rPr>
              <w:t>Westwater Resources Inc. (NYSE:WWR)</w:t>
            </w:r>
            <w:r>
              <w:rPr>
                <w:noProof/>
                <w:webHidden/>
              </w:rPr>
              <w:tab/>
            </w:r>
            <w:r>
              <w:rPr>
                <w:noProof/>
                <w:webHidden/>
              </w:rPr>
              <w:fldChar w:fldCharType="begin"/>
            </w:r>
            <w:r>
              <w:rPr>
                <w:noProof/>
                <w:webHidden/>
              </w:rPr>
              <w:instrText xml:space="preserve"> PAGEREF _Toc212796797 \h </w:instrText>
            </w:r>
            <w:r>
              <w:rPr>
                <w:noProof/>
                <w:webHidden/>
              </w:rPr>
            </w:r>
            <w:r>
              <w:rPr>
                <w:noProof/>
                <w:webHidden/>
              </w:rPr>
              <w:fldChar w:fldCharType="separate"/>
            </w:r>
            <w:r>
              <w:rPr>
                <w:noProof/>
                <w:webHidden/>
              </w:rPr>
              <w:t>55</w:t>
            </w:r>
            <w:r>
              <w:rPr>
                <w:noProof/>
                <w:webHidden/>
              </w:rPr>
              <w:fldChar w:fldCharType="end"/>
            </w:r>
          </w:hyperlink>
        </w:p>
        <w:p w14:paraId="7386A3B4" w14:textId="77AD2536" w:rsidR="00E14E3F" w:rsidRDefault="00E14E3F">
          <w:pPr>
            <w:pStyle w:val="TOC3"/>
            <w:tabs>
              <w:tab w:val="right" w:leader="dot" w:pos="9350"/>
            </w:tabs>
            <w:rPr>
              <w:rFonts w:eastAsiaTheme="minorEastAsia"/>
              <w:noProof/>
              <w:sz w:val="24"/>
              <w:szCs w:val="24"/>
            </w:rPr>
          </w:pPr>
          <w:hyperlink w:anchor="_Toc212796798" w:history="1">
            <w:r w:rsidRPr="00BF36E8">
              <w:rPr>
                <w:rStyle w:val="Hyperlink"/>
                <w:rFonts w:cs="Times New Roman"/>
                <w:noProof/>
              </w:rPr>
              <w:t>Outlook: Neutral</w:t>
            </w:r>
            <w:r>
              <w:rPr>
                <w:noProof/>
                <w:webHidden/>
              </w:rPr>
              <w:tab/>
            </w:r>
            <w:r>
              <w:rPr>
                <w:noProof/>
                <w:webHidden/>
              </w:rPr>
              <w:fldChar w:fldCharType="begin"/>
            </w:r>
            <w:r>
              <w:rPr>
                <w:noProof/>
                <w:webHidden/>
              </w:rPr>
              <w:instrText xml:space="preserve"> PAGEREF _Toc212796798 \h </w:instrText>
            </w:r>
            <w:r>
              <w:rPr>
                <w:noProof/>
                <w:webHidden/>
              </w:rPr>
            </w:r>
            <w:r>
              <w:rPr>
                <w:noProof/>
                <w:webHidden/>
              </w:rPr>
              <w:fldChar w:fldCharType="separate"/>
            </w:r>
            <w:r>
              <w:rPr>
                <w:noProof/>
                <w:webHidden/>
              </w:rPr>
              <w:t>55</w:t>
            </w:r>
            <w:r>
              <w:rPr>
                <w:noProof/>
                <w:webHidden/>
              </w:rPr>
              <w:fldChar w:fldCharType="end"/>
            </w:r>
          </w:hyperlink>
        </w:p>
        <w:p w14:paraId="0F432522" w14:textId="7AB64445" w:rsidR="00E14E3F" w:rsidRDefault="00E14E3F">
          <w:pPr>
            <w:pStyle w:val="TOC3"/>
            <w:tabs>
              <w:tab w:val="right" w:leader="dot" w:pos="9350"/>
            </w:tabs>
            <w:rPr>
              <w:rFonts w:eastAsiaTheme="minorEastAsia"/>
              <w:noProof/>
              <w:sz w:val="24"/>
              <w:szCs w:val="24"/>
            </w:rPr>
          </w:pPr>
          <w:hyperlink w:anchor="_Toc212796799" w:history="1">
            <w:r w:rsidRPr="00BF36E8">
              <w:rPr>
                <w:rStyle w:val="Hyperlink"/>
                <w:rFonts w:cs="Times New Roman"/>
                <w:noProof/>
              </w:rPr>
              <w:t xml:space="preserve">AL Outlook: </w:t>
            </w:r>
            <w:r w:rsidRPr="00C67C4C">
              <w:rPr>
                <w:rStyle w:val="Hyperlink"/>
                <w:rFonts w:cs="Times New Roman"/>
                <w:noProof/>
                <w:color w:val="00B050"/>
              </w:rPr>
              <w:t>Positive</w:t>
            </w:r>
            <w:r>
              <w:rPr>
                <w:noProof/>
                <w:webHidden/>
              </w:rPr>
              <w:tab/>
            </w:r>
            <w:r>
              <w:rPr>
                <w:noProof/>
                <w:webHidden/>
              </w:rPr>
              <w:fldChar w:fldCharType="begin"/>
            </w:r>
            <w:r>
              <w:rPr>
                <w:noProof/>
                <w:webHidden/>
              </w:rPr>
              <w:instrText xml:space="preserve"> PAGEREF _Toc212796799 \h </w:instrText>
            </w:r>
            <w:r>
              <w:rPr>
                <w:noProof/>
                <w:webHidden/>
              </w:rPr>
            </w:r>
            <w:r>
              <w:rPr>
                <w:noProof/>
                <w:webHidden/>
              </w:rPr>
              <w:fldChar w:fldCharType="separate"/>
            </w:r>
            <w:r>
              <w:rPr>
                <w:noProof/>
                <w:webHidden/>
              </w:rPr>
              <w:t>55</w:t>
            </w:r>
            <w:r>
              <w:rPr>
                <w:noProof/>
                <w:webHidden/>
              </w:rPr>
              <w:fldChar w:fldCharType="end"/>
            </w:r>
          </w:hyperlink>
        </w:p>
        <w:p w14:paraId="1DF43CD4" w14:textId="0DF95155" w:rsidR="00E14E3F" w:rsidRDefault="00E14E3F">
          <w:pPr>
            <w:pStyle w:val="TOC1"/>
            <w:tabs>
              <w:tab w:val="right" w:leader="dot" w:pos="9350"/>
            </w:tabs>
            <w:rPr>
              <w:rFonts w:eastAsiaTheme="minorEastAsia"/>
              <w:noProof/>
              <w:sz w:val="24"/>
              <w:szCs w:val="24"/>
            </w:rPr>
          </w:pPr>
          <w:hyperlink w:anchor="_Toc212796800" w:history="1">
            <w:r w:rsidRPr="00BF36E8">
              <w:rPr>
                <w:rStyle w:val="Hyperlink"/>
                <w:rFonts w:cs="Times New Roman"/>
                <w:noProof/>
              </w:rPr>
              <w:t>Additional Notes:</w:t>
            </w:r>
            <w:r>
              <w:rPr>
                <w:noProof/>
                <w:webHidden/>
              </w:rPr>
              <w:tab/>
            </w:r>
            <w:r>
              <w:rPr>
                <w:noProof/>
                <w:webHidden/>
              </w:rPr>
              <w:fldChar w:fldCharType="begin"/>
            </w:r>
            <w:r>
              <w:rPr>
                <w:noProof/>
                <w:webHidden/>
              </w:rPr>
              <w:instrText xml:space="preserve"> PAGEREF _Toc212796800 \h </w:instrText>
            </w:r>
            <w:r>
              <w:rPr>
                <w:noProof/>
                <w:webHidden/>
              </w:rPr>
            </w:r>
            <w:r>
              <w:rPr>
                <w:noProof/>
                <w:webHidden/>
              </w:rPr>
              <w:fldChar w:fldCharType="separate"/>
            </w:r>
            <w:r>
              <w:rPr>
                <w:noProof/>
                <w:webHidden/>
              </w:rPr>
              <w:t>57</w:t>
            </w:r>
            <w:r>
              <w:rPr>
                <w:noProof/>
                <w:webHidden/>
              </w:rPr>
              <w:fldChar w:fldCharType="end"/>
            </w:r>
          </w:hyperlink>
        </w:p>
        <w:p w14:paraId="3DCE62B0" w14:textId="33A250EE" w:rsidR="00E14E3F" w:rsidRDefault="00E14E3F">
          <w:pPr>
            <w:pStyle w:val="TOC2"/>
            <w:rPr>
              <w:rFonts w:eastAsiaTheme="minorEastAsia"/>
              <w:noProof/>
              <w:sz w:val="24"/>
              <w:szCs w:val="24"/>
            </w:rPr>
          </w:pPr>
          <w:hyperlink w:anchor="_Toc212796801" w:history="1">
            <w:r w:rsidRPr="00BF36E8">
              <w:rPr>
                <w:rStyle w:val="Hyperlink"/>
                <w:rFonts w:cs="Times New Roman"/>
                <w:noProof/>
              </w:rPr>
              <w:t>BAE Systems plc (LSE:BA.)</w:t>
            </w:r>
            <w:r>
              <w:rPr>
                <w:noProof/>
                <w:webHidden/>
              </w:rPr>
              <w:tab/>
            </w:r>
            <w:r>
              <w:rPr>
                <w:noProof/>
                <w:webHidden/>
              </w:rPr>
              <w:fldChar w:fldCharType="begin"/>
            </w:r>
            <w:r>
              <w:rPr>
                <w:noProof/>
                <w:webHidden/>
              </w:rPr>
              <w:instrText xml:space="preserve"> PAGEREF _Toc212796801 \h </w:instrText>
            </w:r>
            <w:r>
              <w:rPr>
                <w:noProof/>
                <w:webHidden/>
              </w:rPr>
            </w:r>
            <w:r>
              <w:rPr>
                <w:noProof/>
                <w:webHidden/>
              </w:rPr>
              <w:fldChar w:fldCharType="separate"/>
            </w:r>
            <w:r>
              <w:rPr>
                <w:noProof/>
                <w:webHidden/>
              </w:rPr>
              <w:t>57</w:t>
            </w:r>
            <w:r>
              <w:rPr>
                <w:noProof/>
                <w:webHidden/>
              </w:rPr>
              <w:fldChar w:fldCharType="end"/>
            </w:r>
          </w:hyperlink>
        </w:p>
        <w:p w14:paraId="31ACD354" w14:textId="3B19AA74" w:rsidR="00E14E3F" w:rsidRDefault="00E14E3F">
          <w:pPr>
            <w:pStyle w:val="TOC2"/>
            <w:rPr>
              <w:rFonts w:eastAsiaTheme="minorEastAsia"/>
              <w:noProof/>
              <w:sz w:val="24"/>
              <w:szCs w:val="24"/>
            </w:rPr>
          </w:pPr>
          <w:hyperlink w:anchor="_Toc212796802" w:history="1">
            <w:r w:rsidRPr="00BF36E8">
              <w:rPr>
                <w:rStyle w:val="Hyperlink"/>
                <w:rFonts w:cs="Times New Roman"/>
                <w:noProof/>
              </w:rPr>
              <w:t>BioCryst Pharmaceuticals(NASDAQGS: BCRX)</w:t>
            </w:r>
            <w:r>
              <w:rPr>
                <w:noProof/>
                <w:webHidden/>
              </w:rPr>
              <w:tab/>
            </w:r>
            <w:r>
              <w:rPr>
                <w:noProof/>
                <w:webHidden/>
              </w:rPr>
              <w:fldChar w:fldCharType="begin"/>
            </w:r>
            <w:r>
              <w:rPr>
                <w:noProof/>
                <w:webHidden/>
              </w:rPr>
              <w:instrText xml:space="preserve"> PAGEREF _Toc212796802 \h </w:instrText>
            </w:r>
            <w:r>
              <w:rPr>
                <w:noProof/>
                <w:webHidden/>
              </w:rPr>
            </w:r>
            <w:r>
              <w:rPr>
                <w:noProof/>
                <w:webHidden/>
              </w:rPr>
              <w:fldChar w:fldCharType="separate"/>
            </w:r>
            <w:r>
              <w:rPr>
                <w:noProof/>
                <w:webHidden/>
              </w:rPr>
              <w:t>57</w:t>
            </w:r>
            <w:r>
              <w:rPr>
                <w:noProof/>
                <w:webHidden/>
              </w:rPr>
              <w:fldChar w:fldCharType="end"/>
            </w:r>
          </w:hyperlink>
        </w:p>
        <w:p w14:paraId="4E340BBD" w14:textId="1EFD75DD" w:rsidR="00E14E3F" w:rsidRDefault="00E14E3F">
          <w:pPr>
            <w:pStyle w:val="TOC2"/>
            <w:rPr>
              <w:rFonts w:eastAsiaTheme="minorEastAsia"/>
              <w:noProof/>
              <w:sz w:val="24"/>
              <w:szCs w:val="24"/>
            </w:rPr>
          </w:pPr>
          <w:hyperlink w:anchor="_Toc212796803" w:history="1">
            <w:r w:rsidRPr="00BF36E8">
              <w:rPr>
                <w:rStyle w:val="Hyperlink"/>
                <w:rFonts w:cs="Times New Roman"/>
                <w:noProof/>
              </w:rPr>
              <w:t>General Electric Company (NYSE:GE)</w:t>
            </w:r>
            <w:r>
              <w:rPr>
                <w:noProof/>
                <w:webHidden/>
              </w:rPr>
              <w:tab/>
            </w:r>
            <w:r>
              <w:rPr>
                <w:noProof/>
                <w:webHidden/>
              </w:rPr>
              <w:fldChar w:fldCharType="begin"/>
            </w:r>
            <w:r>
              <w:rPr>
                <w:noProof/>
                <w:webHidden/>
              </w:rPr>
              <w:instrText xml:space="preserve"> PAGEREF _Toc212796803 \h </w:instrText>
            </w:r>
            <w:r>
              <w:rPr>
                <w:noProof/>
                <w:webHidden/>
              </w:rPr>
            </w:r>
            <w:r>
              <w:rPr>
                <w:noProof/>
                <w:webHidden/>
              </w:rPr>
              <w:fldChar w:fldCharType="separate"/>
            </w:r>
            <w:r>
              <w:rPr>
                <w:noProof/>
                <w:webHidden/>
              </w:rPr>
              <w:t>57</w:t>
            </w:r>
            <w:r>
              <w:rPr>
                <w:noProof/>
                <w:webHidden/>
              </w:rPr>
              <w:fldChar w:fldCharType="end"/>
            </w:r>
          </w:hyperlink>
        </w:p>
        <w:p w14:paraId="3DB343C7" w14:textId="06B29A77" w:rsidR="00E14E3F" w:rsidRDefault="00E14E3F">
          <w:pPr>
            <w:pStyle w:val="TOC2"/>
            <w:rPr>
              <w:rFonts w:eastAsiaTheme="minorEastAsia"/>
              <w:noProof/>
              <w:sz w:val="24"/>
              <w:szCs w:val="24"/>
            </w:rPr>
          </w:pPr>
          <w:hyperlink w:anchor="_Toc212796804" w:history="1">
            <w:r w:rsidRPr="00BF36E8">
              <w:rPr>
                <w:rStyle w:val="Hyperlink"/>
                <w:rFonts w:cs="Times New Roman"/>
                <w:noProof/>
              </w:rPr>
              <w:t>IN8bio, Inc. (NASDAQGM:INAB)</w:t>
            </w:r>
            <w:r>
              <w:rPr>
                <w:noProof/>
                <w:webHidden/>
              </w:rPr>
              <w:tab/>
            </w:r>
            <w:r>
              <w:rPr>
                <w:noProof/>
                <w:webHidden/>
              </w:rPr>
              <w:fldChar w:fldCharType="begin"/>
            </w:r>
            <w:r>
              <w:rPr>
                <w:noProof/>
                <w:webHidden/>
              </w:rPr>
              <w:instrText xml:space="preserve"> PAGEREF _Toc212796804 \h </w:instrText>
            </w:r>
            <w:r>
              <w:rPr>
                <w:noProof/>
                <w:webHidden/>
              </w:rPr>
            </w:r>
            <w:r>
              <w:rPr>
                <w:noProof/>
                <w:webHidden/>
              </w:rPr>
              <w:fldChar w:fldCharType="separate"/>
            </w:r>
            <w:r>
              <w:rPr>
                <w:noProof/>
                <w:webHidden/>
              </w:rPr>
              <w:t>57</w:t>
            </w:r>
            <w:r>
              <w:rPr>
                <w:noProof/>
                <w:webHidden/>
              </w:rPr>
              <w:fldChar w:fldCharType="end"/>
            </w:r>
          </w:hyperlink>
        </w:p>
        <w:p w14:paraId="213BF546" w14:textId="00F4C816" w:rsidR="00E14E3F" w:rsidRDefault="00E14E3F">
          <w:pPr>
            <w:pStyle w:val="TOC2"/>
            <w:rPr>
              <w:rFonts w:eastAsiaTheme="minorEastAsia"/>
              <w:noProof/>
              <w:sz w:val="24"/>
              <w:szCs w:val="24"/>
            </w:rPr>
          </w:pPr>
          <w:hyperlink w:anchor="_Toc212796805" w:history="1">
            <w:r w:rsidRPr="00BF36E8">
              <w:rPr>
                <w:rStyle w:val="Hyperlink"/>
                <w:rFonts w:cs="Times New Roman"/>
                <w:noProof/>
              </w:rPr>
              <w:t>Kratos Defense &amp; Security Solutions (NASDAQGS:KTOS)</w:t>
            </w:r>
            <w:r>
              <w:rPr>
                <w:noProof/>
                <w:webHidden/>
              </w:rPr>
              <w:tab/>
            </w:r>
            <w:r>
              <w:rPr>
                <w:noProof/>
                <w:webHidden/>
              </w:rPr>
              <w:fldChar w:fldCharType="begin"/>
            </w:r>
            <w:r>
              <w:rPr>
                <w:noProof/>
                <w:webHidden/>
              </w:rPr>
              <w:instrText xml:space="preserve"> PAGEREF _Toc212796805 \h </w:instrText>
            </w:r>
            <w:r>
              <w:rPr>
                <w:noProof/>
                <w:webHidden/>
              </w:rPr>
            </w:r>
            <w:r>
              <w:rPr>
                <w:noProof/>
                <w:webHidden/>
              </w:rPr>
              <w:fldChar w:fldCharType="separate"/>
            </w:r>
            <w:r>
              <w:rPr>
                <w:noProof/>
                <w:webHidden/>
              </w:rPr>
              <w:t>57</w:t>
            </w:r>
            <w:r>
              <w:rPr>
                <w:noProof/>
                <w:webHidden/>
              </w:rPr>
              <w:fldChar w:fldCharType="end"/>
            </w:r>
          </w:hyperlink>
        </w:p>
        <w:p w14:paraId="143D38F4" w14:textId="7ECCC1D5" w:rsidR="00E14E3F" w:rsidRDefault="00E14E3F">
          <w:pPr>
            <w:pStyle w:val="TOC2"/>
            <w:rPr>
              <w:rFonts w:eastAsiaTheme="minorEastAsia"/>
              <w:noProof/>
              <w:sz w:val="24"/>
              <w:szCs w:val="24"/>
            </w:rPr>
          </w:pPr>
          <w:hyperlink w:anchor="_Toc212796806" w:history="1">
            <w:r w:rsidRPr="00BF36E8">
              <w:rPr>
                <w:rStyle w:val="Hyperlink"/>
                <w:rFonts w:cs="Times New Roman"/>
                <w:noProof/>
              </w:rPr>
              <w:t>Lockheed Martin Corporation (NYSE:LMT)</w:t>
            </w:r>
            <w:r>
              <w:rPr>
                <w:noProof/>
                <w:webHidden/>
              </w:rPr>
              <w:tab/>
            </w:r>
            <w:r>
              <w:rPr>
                <w:noProof/>
                <w:webHidden/>
              </w:rPr>
              <w:fldChar w:fldCharType="begin"/>
            </w:r>
            <w:r>
              <w:rPr>
                <w:noProof/>
                <w:webHidden/>
              </w:rPr>
              <w:instrText xml:space="preserve"> PAGEREF _Toc212796806 \h </w:instrText>
            </w:r>
            <w:r>
              <w:rPr>
                <w:noProof/>
                <w:webHidden/>
              </w:rPr>
            </w:r>
            <w:r>
              <w:rPr>
                <w:noProof/>
                <w:webHidden/>
              </w:rPr>
              <w:fldChar w:fldCharType="separate"/>
            </w:r>
            <w:r>
              <w:rPr>
                <w:noProof/>
                <w:webHidden/>
              </w:rPr>
              <w:t>57</w:t>
            </w:r>
            <w:r>
              <w:rPr>
                <w:noProof/>
                <w:webHidden/>
              </w:rPr>
              <w:fldChar w:fldCharType="end"/>
            </w:r>
          </w:hyperlink>
        </w:p>
        <w:p w14:paraId="0BBE96CD" w14:textId="5EF2DE27" w:rsidR="00E14E3F" w:rsidRDefault="00E14E3F">
          <w:pPr>
            <w:pStyle w:val="TOC2"/>
            <w:rPr>
              <w:rFonts w:eastAsiaTheme="minorEastAsia"/>
              <w:noProof/>
              <w:sz w:val="24"/>
              <w:szCs w:val="24"/>
            </w:rPr>
          </w:pPr>
          <w:hyperlink w:anchor="_Toc212796807" w:history="1">
            <w:r w:rsidRPr="00BF36E8">
              <w:rPr>
                <w:rStyle w:val="Hyperlink"/>
                <w:rFonts w:cs="Times New Roman"/>
                <w:noProof/>
              </w:rPr>
              <w:t>Quest Diagnostics Incorporated (NYSE:DGX)</w:t>
            </w:r>
            <w:r>
              <w:rPr>
                <w:noProof/>
                <w:webHidden/>
              </w:rPr>
              <w:tab/>
            </w:r>
            <w:r>
              <w:rPr>
                <w:noProof/>
                <w:webHidden/>
              </w:rPr>
              <w:fldChar w:fldCharType="begin"/>
            </w:r>
            <w:r>
              <w:rPr>
                <w:noProof/>
                <w:webHidden/>
              </w:rPr>
              <w:instrText xml:space="preserve"> PAGEREF _Toc212796807 \h </w:instrText>
            </w:r>
            <w:r>
              <w:rPr>
                <w:noProof/>
                <w:webHidden/>
              </w:rPr>
            </w:r>
            <w:r>
              <w:rPr>
                <w:noProof/>
                <w:webHidden/>
              </w:rPr>
              <w:fldChar w:fldCharType="separate"/>
            </w:r>
            <w:r>
              <w:rPr>
                <w:noProof/>
                <w:webHidden/>
              </w:rPr>
              <w:t>58</w:t>
            </w:r>
            <w:r>
              <w:rPr>
                <w:noProof/>
                <w:webHidden/>
              </w:rPr>
              <w:fldChar w:fldCharType="end"/>
            </w:r>
          </w:hyperlink>
        </w:p>
        <w:p w14:paraId="29ABE5C1" w14:textId="33CBB70C" w:rsidR="00E14E3F" w:rsidRDefault="00E14E3F">
          <w:pPr>
            <w:pStyle w:val="TOC2"/>
            <w:rPr>
              <w:rFonts w:eastAsiaTheme="minorEastAsia"/>
              <w:noProof/>
              <w:sz w:val="24"/>
              <w:szCs w:val="24"/>
            </w:rPr>
          </w:pPr>
          <w:hyperlink w:anchor="_Toc212796808" w:history="1">
            <w:r w:rsidRPr="00BF36E8">
              <w:rPr>
                <w:rStyle w:val="Hyperlink"/>
                <w:rFonts w:cs="Times New Roman"/>
                <w:noProof/>
              </w:rPr>
              <w:t>Teledyne Technologies Incorporated (NYSE:TDY)</w:t>
            </w:r>
            <w:r>
              <w:rPr>
                <w:noProof/>
                <w:webHidden/>
              </w:rPr>
              <w:tab/>
            </w:r>
            <w:r>
              <w:rPr>
                <w:noProof/>
                <w:webHidden/>
              </w:rPr>
              <w:fldChar w:fldCharType="begin"/>
            </w:r>
            <w:r>
              <w:rPr>
                <w:noProof/>
                <w:webHidden/>
              </w:rPr>
              <w:instrText xml:space="preserve"> PAGEREF _Toc212796808 \h </w:instrText>
            </w:r>
            <w:r>
              <w:rPr>
                <w:noProof/>
                <w:webHidden/>
              </w:rPr>
            </w:r>
            <w:r>
              <w:rPr>
                <w:noProof/>
                <w:webHidden/>
              </w:rPr>
              <w:fldChar w:fldCharType="separate"/>
            </w:r>
            <w:r>
              <w:rPr>
                <w:noProof/>
                <w:webHidden/>
              </w:rPr>
              <w:t>58</w:t>
            </w:r>
            <w:r>
              <w:rPr>
                <w:noProof/>
                <w:webHidden/>
              </w:rPr>
              <w:fldChar w:fldCharType="end"/>
            </w:r>
          </w:hyperlink>
        </w:p>
        <w:p w14:paraId="586CCBC0" w14:textId="4299E831" w:rsidR="00A72B2A" w:rsidRDefault="00A72B2A" w:rsidP="2535092B">
          <w:pPr>
            <w:pStyle w:val="TOC2"/>
            <w:rPr>
              <w:rStyle w:val="Hyperlink"/>
              <w:noProof/>
            </w:rPr>
          </w:pPr>
          <w:r>
            <w:fldChar w:fldCharType="end"/>
          </w:r>
        </w:p>
      </w:sdtContent>
    </w:sdt>
    <w:p w14:paraId="74C2B8C3" w14:textId="5C152DCB" w:rsidR="00240D28" w:rsidRDefault="00240D28" w:rsidP="1C23ADBA">
      <w:pPr>
        <w:pStyle w:val="TOC1"/>
        <w:tabs>
          <w:tab w:val="right" w:leader="dot" w:pos="9345"/>
        </w:tabs>
      </w:pPr>
    </w:p>
    <w:p w14:paraId="3A8EBF20" w14:textId="6D36FB4F" w:rsidR="009D217B" w:rsidRDefault="009D217B">
      <w:pPr>
        <w:sectPr w:rsidR="009D217B" w:rsidSect="00ED2AC4">
          <w:headerReference w:type="default" r:id="rId13"/>
          <w:type w:val="continuous"/>
          <w:pgSz w:w="12240" w:h="15840"/>
          <w:pgMar w:top="1440" w:right="1440" w:bottom="1440" w:left="1440" w:header="720" w:footer="720" w:gutter="0"/>
          <w:cols w:space="720"/>
          <w:docGrid w:linePitch="360"/>
        </w:sectPr>
      </w:pPr>
    </w:p>
    <w:p w14:paraId="792B181B" w14:textId="5D341F6D" w:rsidR="00986620" w:rsidRDefault="00986620"/>
    <w:p w14:paraId="618D88B6" w14:textId="77777777" w:rsidR="008B733A" w:rsidRPr="008B733A" w:rsidRDefault="008B733A" w:rsidP="008B733A">
      <w:pPr>
        <w:pStyle w:val="TOC2"/>
        <w:rPr>
          <w:rFonts w:ascii="Times New Roman" w:hAnsi="Times New Roman" w:cs="Times New Roman"/>
          <w:b/>
          <w:bCs/>
          <w:sz w:val="32"/>
          <w:szCs w:val="32"/>
        </w:rPr>
      </w:pPr>
      <w:r w:rsidRPr="008B733A">
        <w:rPr>
          <w:rFonts w:ascii="Times New Roman" w:hAnsi="Times New Roman" w:cs="Times New Roman"/>
          <w:b/>
          <w:bCs/>
          <w:sz w:val="32"/>
          <w:szCs w:val="32"/>
        </w:rPr>
        <w:t xml:space="preserve">Additional Companies Monitored: </w:t>
      </w:r>
    </w:p>
    <w:p w14:paraId="331D37F4" w14:textId="77777777" w:rsidR="008B733A" w:rsidRPr="008B733A" w:rsidRDefault="008B733A" w:rsidP="008B733A">
      <w:pPr>
        <w:pStyle w:val="TOC2"/>
        <w:rPr>
          <w:rStyle w:val="Hyperlink"/>
          <w:rFonts w:ascii="Times New Roman" w:hAnsi="Times New Roman" w:cs="Times New Roman"/>
          <w:noProof/>
          <w:color w:val="auto"/>
          <w:sz w:val="20"/>
          <w:szCs w:val="20"/>
          <w:u w:val="none"/>
        </w:rPr>
        <w:sectPr w:rsidR="008B733A" w:rsidRPr="008B733A" w:rsidSect="009D217B">
          <w:headerReference w:type="default" r:id="rId14"/>
          <w:footerReference w:type="default" r:id="rId15"/>
          <w:type w:val="continuous"/>
          <w:pgSz w:w="12240" w:h="15840"/>
          <w:pgMar w:top="1440" w:right="1440" w:bottom="1440" w:left="1440" w:header="720" w:footer="720" w:gutter="0"/>
          <w:cols w:space="720"/>
          <w:docGrid w:linePitch="360"/>
        </w:sectPr>
      </w:pPr>
    </w:p>
    <w:p w14:paraId="7FD47AE6"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Adient (NYSE:ADNT)</w:t>
      </w:r>
    </w:p>
    <w:p w14:paraId="157BC33E"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ADTRAN Holdings, Inc. (NasdaqGS:ADTN)</w:t>
      </w:r>
    </w:p>
    <w:p w14:paraId="47FDD466"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Aerojet Rocketdyne Holdings, Inc.  (NYSE:AJRD)</w:t>
      </w:r>
    </w:p>
    <w:p w14:paraId="6FCA33B4"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Austal Limited (ASX:ASB)</w:t>
      </w:r>
    </w:p>
    <w:p w14:paraId="3B2E7AC0"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BAE Systems (LSE:BA)</w:t>
      </w:r>
    </w:p>
    <w:p w14:paraId="0127E30F"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Benchmark Electronics Inc. (NYSE:BHE)</w:t>
      </w:r>
    </w:p>
    <w:p w14:paraId="723E589D"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BioCryst (NASDAQGS:BCRX)</w:t>
      </w:r>
    </w:p>
    <w:p w14:paraId="5CDA78A5"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Carpenter Technology Corp. (NYSE:CRS)</w:t>
      </w:r>
    </w:p>
    <w:p w14:paraId="44532FD4"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Computer Programs and Systems, Inc. (NasdaqGS:CPSI)</w:t>
      </w:r>
    </w:p>
    <w:p w14:paraId="465EA258"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Daikin Industries (TSE:6367)</w:t>
      </w:r>
    </w:p>
    <w:p w14:paraId="3786EB00"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lastRenderedPageBreak/>
        <w:t>Encompass Health Corporation (NYSE:EHC)</w:t>
      </w:r>
    </w:p>
    <w:p w14:paraId="4DF24175"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Fidelity National Information Services, Inc. (NYSE: FIS)</w:t>
      </w:r>
    </w:p>
    <w:p w14:paraId="61C5F2E7"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General Electric Company (NYSE:GE)</w:t>
      </w:r>
    </w:p>
    <w:p w14:paraId="02047A1D"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Hibbett, Inc. (NasdaqGS:HIBB)</w:t>
      </w:r>
    </w:p>
    <w:p w14:paraId="00CD571F"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Honda (TSE:7267)</w:t>
      </w:r>
    </w:p>
    <w:p w14:paraId="6093F6A9"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Hyundai Motor Company (KOSE:A005380)</w:t>
      </w:r>
    </w:p>
    <w:p w14:paraId="276A9D4A"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IN8bio Inc. (NASD:INAB)</w:t>
      </w:r>
    </w:p>
    <w:p w14:paraId="4020D5D5"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KATEK SE (DB: KTEK)</w:t>
      </w:r>
    </w:p>
    <w:p w14:paraId="46B81DD3"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Kratos Defense &amp; Security Solutions, Inc. (NASDAQGS:KTOS)</w:t>
      </w:r>
    </w:p>
    <w:p w14:paraId="205D1281"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L3Harris Technologies, Inc.  (NYSE:LHX)</w:t>
      </w:r>
    </w:p>
    <w:p w14:paraId="2D9B9317"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Lakeland Industries, Inc. (NasdaqGM:LAKE)</w:t>
      </w:r>
    </w:p>
    <w:p w14:paraId="4466A3FC"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Lockheed Martin Corporation (NYSE:LMT)</w:t>
      </w:r>
    </w:p>
    <w:p w14:paraId="30ADD117"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Mazda (TSE:7261)</w:t>
      </w:r>
    </w:p>
    <w:p w14:paraId="173B3154"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Mercedes-Benz (XTRA:MBG)</w:t>
      </w:r>
    </w:p>
    <w:p w14:paraId="54E0326A"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Polaris Industries (NYSE:PII)</w:t>
      </w:r>
    </w:p>
    <w:p w14:paraId="37FAF09D"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Sanmina-SCI Corp. (NASDAQGS:SANM)</w:t>
      </w:r>
    </w:p>
    <w:p w14:paraId="30ED844A"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Steelcase Inc. (NYSE:SCS)</w:t>
      </w:r>
    </w:p>
    <w:p w14:paraId="22F8C8C7"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Steris Corp. (NYSE:STE)</w:t>
      </w:r>
    </w:p>
    <w:p w14:paraId="3D3B2F1E"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Surgalign Holdings, Inc. (NasdaqGS:SRGA)</w:t>
      </w:r>
    </w:p>
    <w:p w14:paraId="228B6DEA"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The Scotts Miracle-Gro Company (NYSE:SMG)</w:t>
      </w:r>
    </w:p>
    <w:p w14:paraId="5A045F95"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Toyota (TSE:7203)</w:t>
      </w:r>
    </w:p>
    <w:p w14:paraId="74D3AC18"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Vulcan Materials Company (NYSE:VMC)</w:t>
      </w:r>
    </w:p>
    <w:p w14:paraId="777E142B" w14:textId="77777777" w:rsidR="008B733A" w:rsidRPr="008B733A" w:rsidRDefault="008B733A" w:rsidP="008B733A">
      <w:pPr>
        <w:pStyle w:val="TOC2"/>
        <w:rPr>
          <w:rStyle w:val="Hyperlink"/>
          <w:rFonts w:ascii="Times New Roman" w:hAnsi="Times New Roman" w:cs="Times New Roman"/>
          <w:noProof/>
          <w:color w:val="auto"/>
          <w:sz w:val="20"/>
          <w:szCs w:val="20"/>
          <w:u w:val="none"/>
        </w:rPr>
      </w:pPr>
      <w:r w:rsidRPr="008B733A">
        <w:rPr>
          <w:rStyle w:val="Hyperlink"/>
          <w:rFonts w:ascii="Times New Roman" w:hAnsi="Times New Roman" w:cs="Times New Roman"/>
          <w:noProof/>
          <w:color w:val="auto"/>
          <w:sz w:val="20"/>
          <w:szCs w:val="20"/>
          <w:u w:val="none"/>
        </w:rPr>
        <w:t>Warrior Met Coal, Inc. (NYSE:HCC)</w:t>
      </w:r>
    </w:p>
    <w:p w14:paraId="02F85021" w14:textId="77777777" w:rsidR="008B733A" w:rsidRPr="008B733A" w:rsidRDefault="008B733A" w:rsidP="008B733A">
      <w:pPr>
        <w:rPr>
          <w:rFonts w:ascii="Times New Roman" w:hAnsi="Times New Roman" w:cs="Times New Roman"/>
        </w:rPr>
        <w:sectPr w:rsidR="008B733A" w:rsidRPr="008B733A" w:rsidSect="008B733A">
          <w:headerReference w:type="default" r:id="rId16"/>
          <w:type w:val="continuous"/>
          <w:pgSz w:w="12240" w:h="15840"/>
          <w:pgMar w:top="1440" w:right="1440" w:bottom="1440" w:left="1440" w:header="720" w:footer="720" w:gutter="0"/>
          <w:cols w:num="2" w:space="720"/>
          <w:docGrid w:linePitch="360"/>
        </w:sectPr>
      </w:pPr>
    </w:p>
    <w:p w14:paraId="3AD8B4C6" w14:textId="77777777" w:rsidR="008B733A" w:rsidRDefault="008B733A" w:rsidP="008B733A">
      <w:pPr>
        <w:rPr>
          <w:rFonts w:ascii="Times New Roman" w:hAnsi="Times New Roman" w:cs="Times New Roman"/>
        </w:rPr>
      </w:pPr>
      <w:r w:rsidRPr="008B733A">
        <w:rPr>
          <w:rFonts w:ascii="Times New Roman" w:hAnsi="Times New Roman" w:cs="Times New Roman"/>
        </w:rPr>
        <w:t xml:space="preserve"> </w:t>
      </w:r>
    </w:p>
    <w:p w14:paraId="1179E460" w14:textId="77777777" w:rsidR="00BC0D8E" w:rsidRDefault="00BC0D8E" w:rsidP="008B733A">
      <w:pPr>
        <w:rPr>
          <w:rFonts w:ascii="Times New Roman" w:hAnsi="Times New Roman" w:cs="Times New Roman"/>
        </w:rPr>
      </w:pPr>
    </w:p>
    <w:p w14:paraId="592F16BA" w14:textId="77777777" w:rsidR="00BC0D8E" w:rsidRDefault="00BC0D8E" w:rsidP="008B733A">
      <w:pPr>
        <w:rPr>
          <w:rFonts w:ascii="Times New Roman" w:hAnsi="Times New Roman" w:cs="Times New Roman"/>
        </w:rPr>
      </w:pPr>
    </w:p>
    <w:p w14:paraId="55A28CCD" w14:textId="77777777" w:rsidR="00BC0D8E" w:rsidRDefault="00BC0D8E" w:rsidP="008B733A">
      <w:pPr>
        <w:rPr>
          <w:rFonts w:ascii="Times New Roman" w:hAnsi="Times New Roman" w:cs="Times New Roman"/>
        </w:rPr>
      </w:pPr>
    </w:p>
    <w:p w14:paraId="3DD7031B" w14:textId="77777777" w:rsidR="00BC0D8E" w:rsidRDefault="00BC0D8E" w:rsidP="008B733A">
      <w:pPr>
        <w:rPr>
          <w:rFonts w:ascii="Times New Roman" w:hAnsi="Times New Roman" w:cs="Times New Roman"/>
        </w:rPr>
      </w:pPr>
    </w:p>
    <w:p w14:paraId="60EBFB97" w14:textId="77777777" w:rsidR="00BC0D8E" w:rsidRDefault="00BC0D8E" w:rsidP="008B733A">
      <w:pPr>
        <w:rPr>
          <w:rFonts w:ascii="Times New Roman" w:hAnsi="Times New Roman" w:cs="Times New Roman"/>
        </w:rPr>
      </w:pPr>
    </w:p>
    <w:p w14:paraId="2776182D" w14:textId="77777777" w:rsidR="00BC0D8E" w:rsidRDefault="00BC0D8E" w:rsidP="008B733A">
      <w:pPr>
        <w:rPr>
          <w:rFonts w:ascii="Times New Roman" w:hAnsi="Times New Roman" w:cs="Times New Roman"/>
        </w:rPr>
      </w:pPr>
    </w:p>
    <w:p w14:paraId="2D0B54F6" w14:textId="77777777" w:rsidR="00BC0D8E" w:rsidRDefault="00BC0D8E" w:rsidP="008B733A">
      <w:pPr>
        <w:rPr>
          <w:rFonts w:ascii="Times New Roman" w:hAnsi="Times New Roman" w:cs="Times New Roman"/>
        </w:rPr>
      </w:pPr>
    </w:p>
    <w:p w14:paraId="357FA7F8" w14:textId="7DB091EE"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651BBAE2" w14:textId="7F9DFF1C"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16AE37DB" w14:textId="501A3E5C"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44C596ED" w14:textId="62B74F7D"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34DAFE32" w14:textId="07EBB0AC"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58834F8D" w14:textId="728AC68E"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1D263C4B" w14:textId="0D99C227"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6848B7C1" w14:textId="43650B68"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7F5062AE" w14:textId="1AEEB82E"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6A2F9068" w14:textId="6FA82F4A"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643EF33B" w14:textId="48E92661"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22414262" w14:textId="7BB1C1F7"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6CDFC5DD" w14:textId="61D4B8CC"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5CF1C68A" w14:textId="505351E9"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42EC4BAD" w14:textId="59C73AEB"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04DC849B" w14:textId="5CBCEB84"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0622A6F0" w14:textId="621FB0C4" w:rsidR="74BCABAA" w:rsidRDefault="74BCABAA" w:rsidP="74BCABAA">
      <w:pPr>
        <w:pStyle w:val="paragraph"/>
        <w:spacing w:before="0" w:beforeAutospacing="0" w:after="0" w:afterAutospacing="0"/>
        <w:rPr>
          <w:rStyle w:val="normaltextrun"/>
          <w:rFonts w:eastAsiaTheme="majorEastAsia"/>
          <w:color w:val="2F5496" w:themeColor="accent1" w:themeShade="BF"/>
        </w:rPr>
      </w:pPr>
    </w:p>
    <w:p w14:paraId="7CED4E98" w14:textId="77777777" w:rsidR="00F03266" w:rsidRDefault="00F03266" w:rsidP="00BC0D8E">
      <w:pPr>
        <w:pStyle w:val="paragraph"/>
        <w:spacing w:before="0" w:beforeAutospacing="0" w:after="0" w:afterAutospacing="0"/>
        <w:textAlignment w:val="baseline"/>
        <w:rPr>
          <w:rStyle w:val="normaltextrun"/>
          <w:rFonts w:eastAsiaTheme="majorEastAsia"/>
          <w:color w:val="2F5496" w:themeColor="accent1" w:themeShade="BF"/>
        </w:rPr>
      </w:pPr>
    </w:p>
    <w:p w14:paraId="2A8B9ADF" w14:textId="52FC9951" w:rsidR="00BC0D8E" w:rsidRPr="00F03266" w:rsidRDefault="79480DE4" w:rsidP="74BCABAA">
      <w:pPr>
        <w:pStyle w:val="paragraph"/>
        <w:spacing w:before="0" w:beforeAutospacing="0" w:after="0" w:afterAutospacing="0"/>
        <w:textAlignment w:val="baseline"/>
        <w:rPr>
          <w:rStyle w:val="eop"/>
          <w:rFonts w:ascii="Segoe UI" w:hAnsi="Segoe UI" w:cs="Segoe UI"/>
          <w:color w:val="2F5496"/>
          <w:sz w:val="18"/>
          <w:szCs w:val="18"/>
        </w:rPr>
      </w:pPr>
      <w:r w:rsidRPr="2535092B">
        <w:rPr>
          <w:rStyle w:val="normaltextrun"/>
          <w:rFonts w:eastAsiaTheme="majorEastAsia"/>
          <w:color w:val="2F5496" w:themeColor="accent1" w:themeShade="BF"/>
        </w:rPr>
        <w:lastRenderedPageBreak/>
        <w:t>Advanced Manufacturing Industry</w:t>
      </w:r>
      <w:r w:rsidRPr="2535092B">
        <w:rPr>
          <w:rStyle w:val="eop"/>
          <w:rFonts w:eastAsiaTheme="majorEastAsia"/>
          <w:color w:val="2F5496" w:themeColor="accent1" w:themeShade="BF"/>
          <w:sz w:val="26"/>
          <w:szCs w:val="26"/>
        </w:rPr>
        <w:t> </w:t>
      </w:r>
    </w:p>
    <w:p w14:paraId="3A72C02B" w14:textId="06212B95" w:rsidR="3BF76704" w:rsidRDefault="3BF76704" w:rsidP="2535092B">
      <w:pPr>
        <w:pStyle w:val="paragraph"/>
        <w:spacing w:before="0" w:after="0"/>
        <w:rPr>
          <w:rStyle w:val="eop"/>
          <w:rFonts w:eastAsiaTheme="majorEastAsia"/>
          <w:sz w:val="22"/>
          <w:szCs w:val="22"/>
        </w:rPr>
      </w:pPr>
      <w:r w:rsidRPr="2535092B">
        <w:rPr>
          <w:rStyle w:val="eop"/>
          <w:rFonts w:eastAsiaTheme="majorEastAsia"/>
          <w:b/>
          <w:bCs/>
          <w:sz w:val="22"/>
          <w:szCs w:val="22"/>
        </w:rPr>
        <w:t>Positive Indicators:</w:t>
      </w:r>
      <w:r w:rsidR="49D6B1CF" w:rsidRPr="2535092B">
        <w:rPr>
          <w:rStyle w:val="eop"/>
          <w:rFonts w:eastAsiaTheme="majorEastAsia"/>
          <w:b/>
          <w:bCs/>
          <w:sz w:val="22"/>
          <w:szCs w:val="22"/>
        </w:rPr>
        <w:t xml:space="preserve"> </w:t>
      </w:r>
      <w:r w:rsidR="00BC005E">
        <w:t xml:space="preserve">The advanced manufacturing sector showed encouraging signs of momentum in Q2–Q3 2025, particularly in segments aligned with electrification, semiconductors, and EV battery supply chains. SUMCO’s Alabama-based wafer plant supported higher 300mm output volumes, driven by rising demand from logic and automotive chipmakers. </w:t>
      </w:r>
      <w:proofErr w:type="spellStart"/>
      <w:r w:rsidR="00BC005E">
        <w:t>Constellium</w:t>
      </w:r>
      <w:proofErr w:type="spellEnd"/>
      <w:r w:rsidR="00BC005E">
        <w:t xml:space="preserve"> saw elevated shipments of aluminum auto body sheet due to strong OEM demand for lightweight materials. Westwater Resources progressed construction of its </w:t>
      </w:r>
      <w:proofErr w:type="spellStart"/>
      <w:r w:rsidR="00BC005E">
        <w:t>Kellyton</w:t>
      </w:r>
      <w:proofErr w:type="spellEnd"/>
      <w:r w:rsidR="00BC005E">
        <w:t xml:space="preserve"> graphite facility, a foundational piece of the U.S. battery materials supply chain, and secured advanced negotiations for off-take agreements. 3M’s advanced materials division benefited from operational efficiencies and a rebound in end-market demand. These developments underscore Alabama's growing strategic role in next-generation manufacturing inputs for high-tech and energy storage applications.</w:t>
      </w:r>
      <w:r>
        <w:br/>
      </w:r>
      <w:r w:rsidR="49D6B1CF" w:rsidRPr="2535092B">
        <w:rPr>
          <w:b/>
          <w:bCs/>
          <w:sz w:val="22"/>
          <w:szCs w:val="22"/>
        </w:rPr>
        <w:t>Challenges</w:t>
      </w:r>
      <w:r w:rsidR="49D6B1CF" w:rsidRPr="2535092B">
        <w:rPr>
          <w:sz w:val="22"/>
          <w:szCs w:val="22"/>
        </w:rPr>
        <w:t xml:space="preserve">: </w:t>
      </w:r>
      <w:r w:rsidR="004A33D9">
        <w:t xml:space="preserve">Despite longer-term tailwinds, the sector continues to face significant near-term pressures. SUMCO and 3M noted that pricing remains soft for certain product lines, such as silicon wafers for memory and industrial adhesives, reflecting excess inventory and demand normalization. Project delays, like the slip in commissioning Westwater’s </w:t>
      </w:r>
      <w:proofErr w:type="spellStart"/>
      <w:r w:rsidR="004A33D9">
        <w:t>Kellyton</w:t>
      </w:r>
      <w:proofErr w:type="spellEnd"/>
      <w:r w:rsidR="004A33D9">
        <w:t xml:space="preserve"> plant, illustrate ongoing supply chain challenges, particularly in specialty equipment sourcing. High </w:t>
      </w:r>
      <w:proofErr w:type="spellStart"/>
      <w:r w:rsidR="004A33D9">
        <w:t>CapEx</w:t>
      </w:r>
      <w:proofErr w:type="spellEnd"/>
      <w:r w:rsidR="004A33D9">
        <w:t xml:space="preserve"> requirements also pose a hurdle for expansion, as companies balance cautious spending with </w:t>
      </w:r>
      <w:proofErr w:type="gramStart"/>
      <w:r w:rsidR="004A33D9">
        <w:t>innovation</w:t>
      </w:r>
      <w:proofErr w:type="gramEnd"/>
      <w:r w:rsidR="004A33D9">
        <w:t xml:space="preserve"> needs. Labor recruitment and technical workforce availability remain persistent issues, especially for ultra-specialized manufacturing roles in more rural parts of Alabama. Overall, while the structural outlook is favorable, near-term execution risks and pricing softness are meaningful headwinds.</w:t>
      </w:r>
    </w:p>
    <w:p w14:paraId="28371FE8" w14:textId="54984307" w:rsidR="2535092B" w:rsidRDefault="2535092B" w:rsidP="2535092B">
      <w:pPr>
        <w:pStyle w:val="paragraph"/>
        <w:spacing w:before="0" w:beforeAutospacing="0" w:after="0" w:afterAutospacing="0"/>
        <w:rPr>
          <w:rStyle w:val="eop"/>
          <w:rFonts w:eastAsiaTheme="majorEastAsia"/>
          <w:color w:val="2F5496" w:themeColor="accent1" w:themeShade="BF"/>
          <w:sz w:val="26"/>
          <w:szCs w:val="26"/>
        </w:rPr>
      </w:pPr>
    </w:p>
    <w:p w14:paraId="3AF8CFB2" w14:textId="21797B4E" w:rsidR="74BCABAA" w:rsidRPr="00F03266" w:rsidRDefault="00BC0D8E" w:rsidP="00F03266">
      <w:pPr>
        <w:pStyle w:val="paragraph"/>
        <w:spacing w:before="0" w:beforeAutospacing="0" w:after="0" w:afterAutospacing="0"/>
        <w:textAlignment w:val="baseline"/>
        <w:rPr>
          <w:rStyle w:val="eop"/>
          <w:rFonts w:ascii="Segoe UI" w:hAnsi="Segoe UI" w:cs="Segoe UI"/>
          <w:color w:val="2F5496"/>
          <w:sz w:val="18"/>
          <w:szCs w:val="18"/>
        </w:rPr>
      </w:pPr>
      <w:r w:rsidRPr="74BCABAA">
        <w:rPr>
          <w:rStyle w:val="normaltextrun"/>
          <w:rFonts w:eastAsiaTheme="majorEastAsia"/>
          <w:color w:val="2F5496" w:themeColor="accent1" w:themeShade="BF"/>
        </w:rPr>
        <w:t>Paper and Packaging Industry</w:t>
      </w:r>
      <w:r w:rsidRPr="74BCABAA">
        <w:rPr>
          <w:rStyle w:val="eop"/>
          <w:rFonts w:eastAsiaTheme="majorEastAsia"/>
          <w:color w:val="2F5496" w:themeColor="accent1" w:themeShade="BF"/>
          <w:sz w:val="26"/>
          <w:szCs w:val="26"/>
        </w:rPr>
        <w:t> </w:t>
      </w:r>
    </w:p>
    <w:p w14:paraId="00998F37" w14:textId="66866B9F" w:rsidR="00BC0D8E" w:rsidRDefault="46CBFCA8" w:rsidP="2535092B">
      <w:pPr>
        <w:pStyle w:val="paragraph"/>
        <w:spacing w:before="0" w:beforeAutospacing="0" w:after="0" w:afterAutospacing="0"/>
        <w:textAlignment w:val="baseline"/>
        <w:rPr>
          <w:rFonts w:ascii="Segoe UI" w:hAnsi="Segoe UI" w:cs="Segoe UI"/>
          <w:color w:val="2F5496" w:themeColor="accent1" w:themeShade="BF"/>
          <w:sz w:val="18"/>
          <w:szCs w:val="18"/>
        </w:rPr>
      </w:pPr>
      <w:r w:rsidRPr="2535092B">
        <w:rPr>
          <w:rStyle w:val="eop"/>
          <w:rFonts w:eastAsiaTheme="majorEastAsia"/>
          <w:b/>
          <w:bCs/>
          <w:sz w:val="22"/>
          <w:szCs w:val="22"/>
        </w:rPr>
        <w:t>Positive Indicators:</w:t>
      </w:r>
      <w:r w:rsidR="005A7C9F">
        <w:t xml:space="preserve"> </w:t>
      </w:r>
      <w:r w:rsidR="004A33D9">
        <w:t>The paper and packaging industry reported solid performance in Q2 2025, driven by a resurgence in box demand, steady pricing, and operational efficiencies. Packaging Corporation of America achieved record shipment volumes and expanded margins, supported by strong output at its Alabama corrugated plants. Sonoco saw strong demand across its Industrial and Protective segments, with Alabama facilities in Opp and Hartselle contributing to margin expansion and product mix improvements. International Paper highlighted cost reductions and higher mill utilization, with its Southern system — including Alabama — operating near full capacity. Smurfit Westrock, now fully integrated, began to show signs of synergy capture and improving EBITDA margins, particularly in North America. These gains suggest that the Southeast remains a highly efficient region for containerboard and converted packaging operations.</w:t>
      </w:r>
      <w:r w:rsidR="00BC0D8E">
        <w:br/>
      </w:r>
      <w:r w:rsidR="2EB0E685" w:rsidRPr="2535092B">
        <w:rPr>
          <w:b/>
          <w:bCs/>
          <w:sz w:val="22"/>
          <w:szCs w:val="22"/>
        </w:rPr>
        <w:t>Challenges</w:t>
      </w:r>
      <w:r w:rsidR="2EB0E685" w:rsidRPr="2535092B">
        <w:rPr>
          <w:sz w:val="22"/>
          <w:szCs w:val="22"/>
        </w:rPr>
        <w:t xml:space="preserve">: </w:t>
      </w:r>
      <w:r w:rsidR="004A33D9">
        <w:t>Still, the sector is navigating lingering demand volatility and inflationary overhangs. International Paper noted soft export demand and margin pressure from higher input costs, especially in Europe. Smurfit Westrock reported a 4.5% volume decline in North American corrugated shipments as the company prioritized margin over volume, suggesting underlying demand softness. While Sonoco’s consumer packaging volumes were flat, its metal packaging segment continues to underperform. In addition, labor costs and transportation expenses have remained elevated for several operators. Although fundamentals are stabilizing, paper and packaging companies remain cautious due to uneven macroeconomic signals and margin sensitivity in downstream products.</w:t>
      </w:r>
    </w:p>
    <w:p w14:paraId="716C3BB3" w14:textId="255D9DE3" w:rsidR="00BC0D8E" w:rsidRDefault="00BC0D8E" w:rsidP="2535092B">
      <w:pPr>
        <w:pStyle w:val="paragraph"/>
        <w:spacing w:before="0" w:beforeAutospacing="0" w:after="0" w:afterAutospacing="0"/>
        <w:textAlignment w:val="baseline"/>
      </w:pPr>
    </w:p>
    <w:p w14:paraId="7C96CBFF" w14:textId="2CC11E79" w:rsidR="00BC0D8E" w:rsidRDefault="79480DE4" w:rsidP="00BC0D8E">
      <w:pPr>
        <w:pStyle w:val="paragraph"/>
        <w:spacing w:before="0" w:beforeAutospacing="0" w:after="0" w:afterAutospacing="0"/>
        <w:textAlignment w:val="baseline"/>
        <w:rPr>
          <w:rFonts w:ascii="Segoe UI" w:hAnsi="Segoe UI" w:cs="Segoe UI"/>
          <w:color w:val="2F5496"/>
          <w:sz w:val="18"/>
          <w:szCs w:val="18"/>
        </w:rPr>
      </w:pPr>
      <w:r w:rsidRPr="2535092B">
        <w:rPr>
          <w:rStyle w:val="normaltextrun"/>
          <w:rFonts w:eastAsiaTheme="majorEastAsia"/>
          <w:color w:val="2F5496" w:themeColor="accent1" w:themeShade="BF"/>
        </w:rPr>
        <w:t>Agribusiness Industry</w:t>
      </w:r>
      <w:r w:rsidRPr="2535092B">
        <w:rPr>
          <w:rStyle w:val="eop"/>
          <w:rFonts w:eastAsiaTheme="majorEastAsia"/>
          <w:color w:val="2F5496" w:themeColor="accent1" w:themeShade="BF"/>
          <w:sz w:val="26"/>
          <w:szCs w:val="26"/>
        </w:rPr>
        <w:t> </w:t>
      </w:r>
    </w:p>
    <w:p w14:paraId="03171AEF" w14:textId="63D93DB2" w:rsidR="00BC0D8E" w:rsidRDefault="7AACDBD8" w:rsidP="2535092B">
      <w:pPr>
        <w:pStyle w:val="paragraph"/>
        <w:spacing w:before="0" w:beforeAutospacing="0" w:after="0" w:afterAutospacing="0"/>
        <w:textAlignment w:val="baseline"/>
        <w:rPr>
          <w:rFonts w:ascii="Segoe UI" w:hAnsi="Segoe UI" w:cs="Segoe UI"/>
          <w:color w:val="2F5496"/>
          <w:sz w:val="18"/>
          <w:szCs w:val="18"/>
        </w:rPr>
      </w:pPr>
      <w:r w:rsidRPr="2535092B">
        <w:rPr>
          <w:rStyle w:val="eop"/>
          <w:rFonts w:eastAsiaTheme="majorEastAsia"/>
          <w:b/>
          <w:bCs/>
          <w:sz w:val="22"/>
          <w:szCs w:val="22"/>
        </w:rPr>
        <w:t>Positive Indicators:</w:t>
      </w:r>
      <w:r w:rsidR="3C2B535F" w:rsidRPr="2535092B">
        <w:rPr>
          <w:rStyle w:val="eop"/>
          <w:rFonts w:eastAsiaTheme="majorEastAsia"/>
          <w:b/>
          <w:bCs/>
          <w:sz w:val="22"/>
          <w:szCs w:val="22"/>
        </w:rPr>
        <w:t xml:space="preserve"> </w:t>
      </w:r>
      <w:r w:rsidR="004A33D9">
        <w:t xml:space="preserve">The agribusiness sector, particularly protein producers, saw meaningful operational and financial improvement in Q2–Q3 2025. Tyson Foods reported its fifth consecutive quarter of earnings growth, driven by improved plant performance, branded chicken momentum, and strong cost control — including efficiency gains at its Alabama poultry operations in Albertville and Blountsville. Pilgrim’s Pride achieved strong performance in both </w:t>
      </w:r>
      <w:proofErr w:type="gramStart"/>
      <w:r w:rsidR="004A33D9">
        <w:t>case</w:t>
      </w:r>
      <w:proofErr w:type="gramEnd"/>
      <w:r w:rsidR="004A33D9">
        <w:t>-ready and prepared foods, and its conversion of the Russellville, Alabama plant to a No Antibiotics Ever (NAE) facility aligns with consumer trends and higher-margin retail demand. Value-added and branded volumes grew faster than commodity chicken, lifting segment margins and signaling a shift toward more stable, premium product lines. Free cash flow was robust across both companies, enabling reinvestment in Alabama facilities and broader value chain optimization.</w:t>
      </w:r>
      <w:r w:rsidR="00BC0D8E">
        <w:br/>
      </w:r>
      <w:r w:rsidR="4FA6E11A" w:rsidRPr="2535092B">
        <w:rPr>
          <w:b/>
          <w:bCs/>
          <w:sz w:val="22"/>
          <w:szCs w:val="22"/>
        </w:rPr>
        <w:t>Challenges</w:t>
      </w:r>
      <w:r w:rsidR="4FA6E11A" w:rsidRPr="2535092B">
        <w:rPr>
          <w:sz w:val="22"/>
          <w:szCs w:val="22"/>
        </w:rPr>
        <w:t xml:space="preserve">: </w:t>
      </w:r>
      <w:r w:rsidR="001C6B8F">
        <w:t xml:space="preserve">Despite the positive results, the industry remains sensitive to input cost volatility and shifting consumer preferences. Tyson highlighted persistent weakness in the beef segment, tied to cattle herd reductions and margin compression — a reminder of broader protein market exposure risks. Both companies noted challenges in international markets, including FX pressure in Mexico and soft exports due to global poultry oversupply. Labor availability and cost remain friction points, especially as automation ramps slowly in older facilities. While value-added growth is encouraging, it requires significant </w:t>
      </w:r>
      <w:proofErr w:type="spellStart"/>
      <w:r w:rsidR="001C6B8F">
        <w:t>CapEx</w:t>
      </w:r>
      <w:proofErr w:type="spellEnd"/>
      <w:r w:rsidR="001C6B8F">
        <w:t xml:space="preserve"> and retail relationship management to sustain momentum. These dynamics suggest that operational discipline and portfolio balancing will remain critical going forward.</w:t>
      </w:r>
    </w:p>
    <w:p w14:paraId="359661E4" w14:textId="596C136C" w:rsidR="2535092B" w:rsidRDefault="2535092B" w:rsidP="2535092B">
      <w:pPr>
        <w:pStyle w:val="paragraph"/>
        <w:spacing w:before="0" w:beforeAutospacing="0" w:after="0" w:afterAutospacing="0"/>
        <w:rPr>
          <w:rStyle w:val="eop"/>
          <w:rFonts w:eastAsiaTheme="majorEastAsia"/>
          <w:color w:val="2F5496" w:themeColor="accent1" w:themeShade="BF"/>
          <w:sz w:val="26"/>
          <w:szCs w:val="26"/>
        </w:rPr>
      </w:pPr>
    </w:p>
    <w:p w14:paraId="5904951D" w14:textId="701DEA7E" w:rsidR="74BCABAA" w:rsidRPr="00F03266" w:rsidRDefault="79480DE4" w:rsidP="00F03266">
      <w:pPr>
        <w:pStyle w:val="paragraph"/>
        <w:spacing w:before="0" w:beforeAutospacing="0" w:after="0" w:afterAutospacing="0"/>
        <w:textAlignment w:val="baseline"/>
        <w:rPr>
          <w:rStyle w:val="eop"/>
          <w:rFonts w:ascii="Segoe UI" w:hAnsi="Segoe UI" w:cs="Segoe UI"/>
          <w:color w:val="2F5496"/>
          <w:sz w:val="18"/>
          <w:szCs w:val="18"/>
        </w:rPr>
      </w:pPr>
      <w:r w:rsidRPr="2535092B">
        <w:rPr>
          <w:rStyle w:val="normaltextrun"/>
          <w:rFonts w:eastAsiaTheme="majorEastAsia"/>
          <w:color w:val="2F5496" w:themeColor="accent1" w:themeShade="BF"/>
        </w:rPr>
        <w:t>Wood Products Industry</w:t>
      </w:r>
      <w:r w:rsidRPr="2535092B">
        <w:rPr>
          <w:rStyle w:val="eop"/>
          <w:rFonts w:eastAsiaTheme="majorEastAsia"/>
          <w:color w:val="2F5496" w:themeColor="accent1" w:themeShade="BF"/>
          <w:sz w:val="26"/>
          <w:szCs w:val="26"/>
        </w:rPr>
        <w:t> </w:t>
      </w:r>
    </w:p>
    <w:p w14:paraId="0E72E36C" w14:textId="54CD5B28" w:rsidR="74BCABAA" w:rsidRPr="00F03266" w:rsidRDefault="14C85A58" w:rsidP="2535092B">
      <w:pPr>
        <w:pStyle w:val="paragraph"/>
        <w:spacing w:before="0" w:beforeAutospacing="0" w:after="0" w:afterAutospacing="0"/>
        <w:textAlignment w:val="baseline"/>
        <w:rPr>
          <w:sz w:val="20"/>
          <w:szCs w:val="20"/>
        </w:rPr>
      </w:pPr>
      <w:r w:rsidRPr="2535092B">
        <w:rPr>
          <w:rStyle w:val="eop"/>
          <w:rFonts w:eastAsiaTheme="majorEastAsia"/>
          <w:b/>
          <w:bCs/>
          <w:sz w:val="22"/>
          <w:szCs w:val="22"/>
        </w:rPr>
        <w:t>Positive Indicators</w:t>
      </w:r>
      <w:r w:rsidR="005A7C9F">
        <w:rPr>
          <w:rStyle w:val="eop"/>
          <w:rFonts w:eastAsiaTheme="majorEastAsia"/>
          <w:b/>
          <w:bCs/>
          <w:sz w:val="22"/>
          <w:szCs w:val="22"/>
        </w:rPr>
        <w:t>:</w:t>
      </w:r>
      <w:r w:rsidR="001C6B8F" w:rsidRPr="001C6B8F">
        <w:t xml:space="preserve"> </w:t>
      </w:r>
      <w:r w:rsidR="001C6B8F">
        <w:t>Southern wood products operations, especially in Alabama, had a strong Q2 2025, with companies like West Fraser, Canfor, and Interfor reporting improved utilization and profitability. West Fraser’s Alabama sawmills in Maplesville, Opelika, and Lanett ran at over 90% utilization, benefiting from stable R&amp;R and regional housing demand. Louisiana-Pacific saw record siding margins and solid OSB output at its Thomasville and Hanceville facilities. Canfor’s Alabama mills also contributed to solid EBITDA growth as part of its highly efficient Southern portfolio. Overall, the U.S. South — particularly Alabama — remains a strategic growth area due to better fiber availability, labor stability, and logistics proximity to end markets.</w:t>
      </w:r>
      <w:r w:rsidR="00BC0D8E">
        <w:br/>
      </w:r>
      <w:r w:rsidR="7CB39FE6" w:rsidRPr="2535092B">
        <w:rPr>
          <w:b/>
          <w:bCs/>
          <w:sz w:val="22"/>
          <w:szCs w:val="22"/>
        </w:rPr>
        <w:t>Challenges</w:t>
      </w:r>
      <w:r w:rsidR="7CB39FE6" w:rsidRPr="2535092B">
        <w:rPr>
          <w:sz w:val="22"/>
          <w:szCs w:val="22"/>
        </w:rPr>
        <w:t xml:space="preserve">: </w:t>
      </w:r>
      <w:r w:rsidR="001C6B8F">
        <w:t>However, companies remain cautious due to persistent housing affordability issues and macroeconomic uncertainty. Mortgage rates in the U.S. remain elevated, which continues to suppress single-family housing starts, affecting lumber and panel volumes. OSB pricing, while stable, remains below long-term averages, limiting upside for producers like LP and West Fraser. Western Canadian operations, in contrast, are struggling due to fiber shortages and regulatory friction — prompting capital to flow disproportionately into the South. Supply chain inefficiencies, including transportation delays and maintenance part shortages, remain minor but notable friction points. The sector appears to be stabilizing, but growth is expected to be modest and heavily dependent on housing trends.</w:t>
      </w:r>
    </w:p>
    <w:p w14:paraId="7288BEBF" w14:textId="7CC1AE1E" w:rsidR="74BCABAA" w:rsidRPr="00F03266" w:rsidRDefault="74BCABAA" w:rsidP="2535092B">
      <w:pPr>
        <w:pStyle w:val="paragraph"/>
        <w:spacing w:before="0" w:beforeAutospacing="0" w:after="0" w:afterAutospacing="0"/>
        <w:textAlignment w:val="baseline"/>
        <w:rPr>
          <w:rStyle w:val="eop"/>
          <w:rFonts w:eastAsiaTheme="majorEastAsia"/>
          <w:color w:val="2F5496" w:themeColor="accent1" w:themeShade="BF"/>
          <w:sz w:val="26"/>
          <w:szCs w:val="26"/>
        </w:rPr>
      </w:pPr>
    </w:p>
    <w:p w14:paraId="0AC9ABB3" w14:textId="2BE8C1D9" w:rsidR="74BCABAA" w:rsidRPr="00F03266" w:rsidRDefault="79480DE4" w:rsidP="00F03266">
      <w:pPr>
        <w:pStyle w:val="paragraph"/>
        <w:spacing w:before="0" w:beforeAutospacing="0" w:after="0" w:afterAutospacing="0"/>
        <w:textAlignment w:val="baseline"/>
        <w:rPr>
          <w:rStyle w:val="eop"/>
          <w:rFonts w:ascii="Segoe UI" w:hAnsi="Segoe UI" w:cs="Segoe UI"/>
          <w:color w:val="2F5496"/>
          <w:sz w:val="18"/>
          <w:szCs w:val="18"/>
        </w:rPr>
      </w:pPr>
      <w:r w:rsidRPr="2535092B">
        <w:rPr>
          <w:rStyle w:val="normaltextrun"/>
          <w:rFonts w:eastAsiaTheme="majorEastAsia"/>
          <w:color w:val="2F5496" w:themeColor="accent1" w:themeShade="BF"/>
        </w:rPr>
        <w:t>Chemicals Industry</w:t>
      </w:r>
      <w:r w:rsidRPr="2535092B">
        <w:rPr>
          <w:rStyle w:val="eop"/>
          <w:rFonts w:eastAsiaTheme="majorEastAsia"/>
          <w:color w:val="2F5496" w:themeColor="accent1" w:themeShade="BF"/>
          <w:sz w:val="26"/>
          <w:szCs w:val="26"/>
        </w:rPr>
        <w:t> </w:t>
      </w:r>
    </w:p>
    <w:p w14:paraId="5F59D2F5" w14:textId="68CAB7E5" w:rsidR="00BC0D8E" w:rsidRPr="00F03266" w:rsidRDefault="1BA2E55A" w:rsidP="2535092B">
      <w:pPr>
        <w:pStyle w:val="paragraph"/>
        <w:spacing w:before="240" w:beforeAutospacing="0" w:after="240" w:afterAutospacing="0"/>
        <w:textAlignment w:val="baseline"/>
        <w:rPr>
          <w:rStyle w:val="eop"/>
          <w:rFonts w:eastAsiaTheme="majorEastAsia"/>
          <w:b/>
          <w:bCs/>
          <w:sz w:val="22"/>
          <w:szCs w:val="22"/>
        </w:rPr>
      </w:pPr>
      <w:r w:rsidRPr="2535092B">
        <w:rPr>
          <w:rStyle w:val="eop"/>
          <w:rFonts w:eastAsiaTheme="majorEastAsia"/>
          <w:b/>
          <w:bCs/>
          <w:sz w:val="22"/>
          <w:szCs w:val="22"/>
        </w:rPr>
        <w:lastRenderedPageBreak/>
        <w:t>Positive Indicators:</w:t>
      </w:r>
      <w:r w:rsidR="365EBF7E" w:rsidRPr="2535092B">
        <w:rPr>
          <w:rStyle w:val="eop"/>
          <w:rFonts w:eastAsiaTheme="majorEastAsia"/>
          <w:b/>
          <w:bCs/>
          <w:sz w:val="22"/>
          <w:szCs w:val="22"/>
        </w:rPr>
        <w:t xml:space="preserve"> </w:t>
      </w:r>
      <w:r w:rsidR="001C6B8F">
        <w:t xml:space="preserve">The chemicals sector delivered sequential margin improvement in Q2 2025, particularly in chlor-alkali and water treatment markets. Olin’s Mobile and McIntosh, Alabama facilities ran at high utilization, with caustic soda pricing supporting strong EBITDA in the chlor-alkali segment. </w:t>
      </w:r>
      <w:proofErr w:type="spellStart"/>
      <w:r w:rsidR="001C6B8F">
        <w:t>Chemtrade’s</w:t>
      </w:r>
      <w:proofErr w:type="spellEnd"/>
      <w:r w:rsidR="001C6B8F">
        <w:t xml:space="preserve"> Decatur water chemicals plant benefited from solid municipal demand and steady pricing for aluminum-based coagulants. Evonik, while facing global macro softness, saw improving specialty chemicals margins and highlighted demand resilience in coatings and additives. Companies emphasized productivity improvements and reliability investments in Gulf Coast operations, including Alabama, suggesting continued strategic focus on the region.</w:t>
      </w:r>
      <w:r w:rsidR="00BC0D8E">
        <w:br/>
      </w:r>
      <w:r w:rsidR="365EBF7E" w:rsidRPr="2535092B">
        <w:rPr>
          <w:b/>
          <w:bCs/>
          <w:sz w:val="22"/>
          <w:szCs w:val="22"/>
        </w:rPr>
        <w:t>Challenges</w:t>
      </w:r>
      <w:r w:rsidR="365EBF7E" w:rsidRPr="2535092B">
        <w:rPr>
          <w:sz w:val="22"/>
          <w:szCs w:val="22"/>
        </w:rPr>
        <w:t xml:space="preserve">: </w:t>
      </w:r>
      <w:r w:rsidR="00C07CA4">
        <w:t xml:space="preserve">Yet, global demand remains uneven, particularly in Europe and China, where Evonik and </w:t>
      </w:r>
      <w:proofErr w:type="spellStart"/>
      <w:r w:rsidR="00C07CA4">
        <w:t>Chemtrade</w:t>
      </w:r>
      <w:proofErr w:type="spellEnd"/>
      <w:r w:rsidR="00C07CA4">
        <w:t xml:space="preserve"> saw volume pressure. Olin noted ongoing volatility in </w:t>
      </w:r>
      <w:proofErr w:type="spellStart"/>
      <w:proofErr w:type="gramStart"/>
      <w:r w:rsidR="00C07CA4">
        <w:t>vinyls</w:t>
      </w:r>
      <w:proofErr w:type="spellEnd"/>
      <w:proofErr w:type="gramEnd"/>
      <w:r w:rsidR="00C07CA4">
        <w:t xml:space="preserve"> and epoxy markets, and </w:t>
      </w:r>
      <w:proofErr w:type="spellStart"/>
      <w:r w:rsidR="00C07CA4">
        <w:t>Chemtrade</w:t>
      </w:r>
      <w:proofErr w:type="spellEnd"/>
      <w:r w:rsidR="00C07CA4">
        <w:t xml:space="preserve"> flagged rising transportation and compliance costs. The chemicals space also faces intensifying regulatory scrutiny, especially around emissions, water discharge, and product stewardship — all of which could drive up compliance costs. Delays in infrastructure and industrial project starts have muted downstream growth in some product lines. While core profitability has improved, chemicals companies remain exposed to cyclical pricing and input volatility, requiring ongoing cost discipline and capital prioritization.</w:t>
      </w:r>
    </w:p>
    <w:p w14:paraId="0B579977" w14:textId="562B0C6C" w:rsidR="00BC0D8E" w:rsidRPr="00F03266" w:rsidRDefault="00BC0D8E" w:rsidP="2535092B">
      <w:pPr>
        <w:pStyle w:val="paragraph"/>
        <w:spacing w:before="0" w:beforeAutospacing="0" w:after="0" w:afterAutospacing="0"/>
        <w:textAlignment w:val="baseline"/>
        <w:rPr>
          <w:rStyle w:val="eop"/>
          <w:rFonts w:eastAsiaTheme="majorEastAsia"/>
          <w:b/>
          <w:bCs/>
          <w:sz w:val="22"/>
          <w:szCs w:val="22"/>
        </w:rPr>
      </w:pPr>
    </w:p>
    <w:p w14:paraId="2747CBF1" w14:textId="35D5109D" w:rsidR="00BC0D8E" w:rsidRPr="00F03266" w:rsidRDefault="00BC0D8E" w:rsidP="2535092B">
      <w:pPr>
        <w:pStyle w:val="paragraph"/>
        <w:spacing w:before="0" w:beforeAutospacing="0" w:after="0" w:afterAutospacing="0"/>
        <w:textAlignment w:val="baseline"/>
        <w:rPr>
          <w:rStyle w:val="eop"/>
          <w:rFonts w:eastAsiaTheme="majorEastAsia"/>
          <w:color w:val="2F5496" w:themeColor="accent1" w:themeShade="BF"/>
          <w:sz w:val="26"/>
          <w:szCs w:val="26"/>
        </w:rPr>
      </w:pPr>
    </w:p>
    <w:p w14:paraId="4C4409D2" w14:textId="5CDD3747" w:rsidR="00BC0D8E" w:rsidRPr="00F03266" w:rsidRDefault="79480DE4" w:rsidP="74BCABAA">
      <w:pPr>
        <w:pStyle w:val="paragraph"/>
        <w:spacing w:before="0" w:beforeAutospacing="0" w:after="0" w:afterAutospacing="0"/>
        <w:textAlignment w:val="baseline"/>
        <w:rPr>
          <w:rStyle w:val="eop"/>
          <w:rFonts w:ascii="Segoe UI" w:hAnsi="Segoe UI" w:cs="Segoe UI"/>
          <w:color w:val="2F5496"/>
          <w:sz w:val="18"/>
          <w:szCs w:val="18"/>
        </w:rPr>
      </w:pPr>
      <w:r w:rsidRPr="2535092B">
        <w:rPr>
          <w:rStyle w:val="normaltextrun"/>
          <w:rFonts w:eastAsiaTheme="majorEastAsia"/>
          <w:color w:val="2F5496" w:themeColor="accent1" w:themeShade="BF"/>
        </w:rPr>
        <w:t>Metals Industry</w:t>
      </w:r>
      <w:r w:rsidRPr="2535092B">
        <w:rPr>
          <w:rStyle w:val="eop"/>
          <w:rFonts w:eastAsiaTheme="majorEastAsia"/>
          <w:color w:val="2F5496" w:themeColor="accent1" w:themeShade="BF"/>
          <w:sz w:val="26"/>
          <w:szCs w:val="26"/>
        </w:rPr>
        <w:t> </w:t>
      </w:r>
    </w:p>
    <w:p w14:paraId="2A8C7DA9" w14:textId="6B8A1AAC" w:rsidR="00BC0D8E" w:rsidRDefault="2450FFD4" w:rsidP="2535092B">
      <w:pPr>
        <w:pStyle w:val="paragraph"/>
        <w:spacing w:before="0" w:after="0"/>
        <w:rPr>
          <w:rStyle w:val="eop"/>
          <w:rFonts w:eastAsiaTheme="majorEastAsia"/>
          <w:b/>
          <w:bCs/>
          <w:sz w:val="22"/>
          <w:szCs w:val="22"/>
        </w:rPr>
      </w:pPr>
      <w:r w:rsidRPr="2535092B">
        <w:rPr>
          <w:rStyle w:val="eop"/>
          <w:rFonts w:eastAsiaTheme="majorEastAsia"/>
          <w:b/>
          <w:bCs/>
          <w:sz w:val="22"/>
          <w:szCs w:val="22"/>
        </w:rPr>
        <w:t>Positive Indicators:</w:t>
      </w:r>
      <w:r w:rsidR="732D402C" w:rsidRPr="2535092B">
        <w:rPr>
          <w:rStyle w:val="eop"/>
          <w:rFonts w:eastAsiaTheme="majorEastAsia"/>
          <w:b/>
          <w:bCs/>
          <w:sz w:val="22"/>
          <w:szCs w:val="22"/>
        </w:rPr>
        <w:t xml:space="preserve"> </w:t>
      </w:r>
      <w:r w:rsidR="00C07CA4">
        <w:t xml:space="preserve">Metals producers with operations in Alabama had a solid Q2 2025, underpinned by infrastructure demand and manufacturing resilience. Nucor’s steel product segment saw margin expansion, with Alabama facilities (plate, tubing, joists, rebar) running at high utilization across sectors like construction and energy. Outokumpu’s Calvert stainless mill delivered the strongest EBITDA among regions, benefiting from logistics advantages and reshoring tailwinds. </w:t>
      </w:r>
      <w:proofErr w:type="spellStart"/>
      <w:r w:rsidR="00C07CA4">
        <w:t>Constellium’s</w:t>
      </w:r>
      <w:proofErr w:type="spellEnd"/>
      <w:r w:rsidR="00C07CA4">
        <w:t xml:space="preserve"> Muscle Shoals plant supported auto OEM demand for aluminum sheet, reflecting structural growth in lightweighting. Domestic procurement mandates and clean energy investments are driving renewed confidence in U.S. metals manufacturing capacity.</w:t>
      </w:r>
      <w:r w:rsidR="00BC0D8E">
        <w:br/>
      </w:r>
      <w:r w:rsidR="732D402C" w:rsidRPr="2535092B">
        <w:rPr>
          <w:b/>
          <w:bCs/>
          <w:sz w:val="22"/>
          <w:szCs w:val="22"/>
        </w:rPr>
        <w:t>Challenges</w:t>
      </w:r>
      <w:r w:rsidR="732D402C" w:rsidRPr="2535092B">
        <w:rPr>
          <w:sz w:val="22"/>
          <w:szCs w:val="22"/>
        </w:rPr>
        <w:t xml:space="preserve">: </w:t>
      </w:r>
      <w:r w:rsidR="00C07CA4">
        <w:t xml:space="preserve">That said, base metal prices remain volatile, with some sequential softness affecting margin outlooks. Global oversupply, particularly in stainless steel and commodity aluminum, has weighed on ASPs despite healthy demand. European operations for Outokumpu and </w:t>
      </w:r>
      <w:proofErr w:type="spellStart"/>
      <w:r w:rsidR="00C07CA4">
        <w:t>Constellium</w:t>
      </w:r>
      <w:proofErr w:type="spellEnd"/>
      <w:r w:rsidR="00C07CA4">
        <w:t xml:space="preserve"> remain pressured by energy and labor costs, limiting global profitability. Nucor and others continue to highlight competition from imports and the need for trade protections to level the playing field. Labor and maintenance scheduling complexity in highly integrated mills remain operational challenges. While the Southeast U.S. is benefiting from favorable trends, margin compression remains a risk if pricing does not keep pace with costs.</w:t>
      </w:r>
    </w:p>
    <w:p w14:paraId="60996F88" w14:textId="03915CD8" w:rsidR="00BC0D8E" w:rsidRDefault="00BC0D8E" w:rsidP="2535092B">
      <w:pPr>
        <w:pStyle w:val="paragraph"/>
        <w:spacing w:before="0" w:after="0"/>
        <w:rPr>
          <w:rStyle w:val="eop"/>
          <w:rFonts w:eastAsiaTheme="majorEastAsia"/>
          <w:color w:val="2F5496" w:themeColor="accent1" w:themeShade="BF"/>
          <w:sz w:val="26"/>
          <w:szCs w:val="26"/>
        </w:rPr>
      </w:pPr>
    </w:p>
    <w:p w14:paraId="0619451D" w14:textId="339D1D50" w:rsidR="00BC0D8E" w:rsidRDefault="79480DE4" w:rsidP="2535092B">
      <w:pPr>
        <w:pStyle w:val="paragraph"/>
        <w:spacing w:before="0" w:after="0"/>
        <w:rPr>
          <w:rFonts w:ascii="Segoe UI" w:hAnsi="Segoe UI" w:cs="Segoe UI"/>
          <w:color w:val="2F5496" w:themeColor="accent1" w:themeShade="BF"/>
          <w:sz w:val="18"/>
          <w:szCs w:val="18"/>
        </w:rPr>
      </w:pPr>
      <w:r w:rsidRPr="2535092B">
        <w:rPr>
          <w:rStyle w:val="normaltextrun"/>
          <w:rFonts w:eastAsiaTheme="majorEastAsia"/>
          <w:color w:val="2F5496" w:themeColor="accent1" w:themeShade="BF"/>
        </w:rPr>
        <w:t>Aerospace Industry</w:t>
      </w:r>
    </w:p>
    <w:p w14:paraId="092D1E6C" w14:textId="76D7D17F" w:rsidR="00BC0D8E" w:rsidRDefault="30F263FF" w:rsidP="2535092B">
      <w:pPr>
        <w:pStyle w:val="paragraph"/>
        <w:spacing w:before="0" w:after="0"/>
        <w:rPr>
          <w:rFonts w:ascii="Segoe UI" w:hAnsi="Segoe UI" w:cs="Segoe UI"/>
          <w:color w:val="2F5496" w:themeColor="accent1" w:themeShade="BF"/>
          <w:sz w:val="22"/>
          <w:szCs w:val="22"/>
        </w:rPr>
      </w:pPr>
      <w:r w:rsidRPr="2535092B">
        <w:rPr>
          <w:rStyle w:val="eop"/>
          <w:rFonts w:eastAsiaTheme="majorEastAsia"/>
          <w:b/>
          <w:bCs/>
          <w:sz w:val="22"/>
          <w:szCs w:val="22"/>
        </w:rPr>
        <w:t xml:space="preserve">Positive Indicators: </w:t>
      </w:r>
      <w:r w:rsidR="003D00AE">
        <w:t xml:space="preserve">The aerospace sector continues to recover, led by record backlogs and strong aftermarket demand. Boeing’s Huntsville operations are part of its Defense, Space &amp; Security </w:t>
      </w:r>
      <w:r w:rsidR="003D00AE">
        <w:lastRenderedPageBreak/>
        <w:t xml:space="preserve">segment, which showed resilience amid broader commercial issues. Airbus reported higher margins and ramped deliveries, with its </w:t>
      </w:r>
      <w:proofErr w:type="gramStart"/>
      <w:r w:rsidR="003D00AE">
        <w:t>Mobile,</w:t>
      </w:r>
      <w:proofErr w:type="gramEnd"/>
      <w:r w:rsidR="003D00AE">
        <w:t xml:space="preserve"> Alabama facility producing A320s at record rates and expanding toward A220 capacity. PPG Industries’ Aerospace Coatings division posted record sales and earnings, supported by demand from defense, commercial, and general aviation customers. Capital investment in U.S. aerospace coatings and high-performance materials remains strong, with new facilities and debottlenecking underway.</w:t>
      </w:r>
      <w:r w:rsidR="00BC0D8E">
        <w:br/>
      </w:r>
      <w:r w:rsidR="4D445807" w:rsidRPr="2535092B">
        <w:rPr>
          <w:b/>
          <w:bCs/>
          <w:sz w:val="22"/>
          <w:szCs w:val="22"/>
        </w:rPr>
        <w:t>Challenges</w:t>
      </w:r>
      <w:r w:rsidR="4D445807" w:rsidRPr="2535092B">
        <w:rPr>
          <w:sz w:val="22"/>
          <w:szCs w:val="22"/>
        </w:rPr>
        <w:t xml:space="preserve">: </w:t>
      </w:r>
      <w:r w:rsidR="003D00AE">
        <w:t>However, the sector continues to grapple with persistent supply chain constraints and labor shortages, particularly in precision manufacturing. Boeing’s commercial division remains hampered by regulatory scrutiny and quality issues, although these are less directly linked to Alabama. Airbus cited supplier delivery volatility and part shortages as headwinds limiting production acceleration. PPG noted that collision claims in automotive coatings (a comparable downstream market) were down, indicating continued consumer conservatism. Globally, geopolitical tensions and inflationary defense budgeting can complicate aerospace order cycles. Execution remains the critical challenge even amid favorable demand trends.</w:t>
      </w:r>
    </w:p>
    <w:p w14:paraId="0AAD38C5" w14:textId="6A7DF898" w:rsidR="00BC0D8E" w:rsidRDefault="79480DE4" w:rsidP="2535092B">
      <w:pPr>
        <w:pStyle w:val="paragraph"/>
        <w:spacing w:before="0" w:after="0"/>
        <w:rPr>
          <w:rFonts w:ascii="Segoe UI" w:hAnsi="Segoe UI" w:cs="Segoe UI"/>
          <w:color w:val="2F5496" w:themeColor="accent1" w:themeShade="BF"/>
          <w:sz w:val="18"/>
          <w:szCs w:val="18"/>
        </w:rPr>
      </w:pPr>
      <w:r w:rsidRPr="2535092B">
        <w:rPr>
          <w:rStyle w:val="eop"/>
          <w:rFonts w:eastAsiaTheme="majorEastAsia"/>
          <w:color w:val="2F5496" w:themeColor="accent1" w:themeShade="BF"/>
          <w:sz w:val="26"/>
          <w:szCs w:val="26"/>
        </w:rPr>
        <w:t> </w:t>
      </w:r>
    </w:p>
    <w:p w14:paraId="31DC15F6" w14:textId="77777777" w:rsidR="00BC0D8E" w:rsidRDefault="00BC0D8E" w:rsidP="008B733A">
      <w:pPr>
        <w:rPr>
          <w:rFonts w:ascii="Times New Roman" w:hAnsi="Times New Roman" w:cs="Times New Roman"/>
        </w:rPr>
      </w:pPr>
    </w:p>
    <w:p w14:paraId="4706FF07" w14:textId="77777777" w:rsidR="00BC0D8E" w:rsidRDefault="00BC0D8E" w:rsidP="008B733A">
      <w:pPr>
        <w:rPr>
          <w:rFonts w:ascii="Times New Roman" w:hAnsi="Times New Roman" w:cs="Times New Roman"/>
        </w:rPr>
      </w:pPr>
    </w:p>
    <w:p w14:paraId="533FCAAF" w14:textId="77777777" w:rsidR="00BC0D8E" w:rsidRDefault="00BC0D8E" w:rsidP="008B733A">
      <w:pPr>
        <w:rPr>
          <w:rFonts w:ascii="Times New Roman" w:hAnsi="Times New Roman" w:cs="Times New Roman"/>
        </w:rPr>
      </w:pPr>
    </w:p>
    <w:p w14:paraId="3AC05DD2" w14:textId="77777777" w:rsidR="00BC0D8E" w:rsidRDefault="00BC0D8E" w:rsidP="008B733A">
      <w:pPr>
        <w:rPr>
          <w:rFonts w:ascii="Times New Roman" w:hAnsi="Times New Roman" w:cs="Times New Roman"/>
        </w:rPr>
      </w:pPr>
    </w:p>
    <w:p w14:paraId="20930A38" w14:textId="77777777" w:rsidR="00BC0D8E" w:rsidRDefault="00BC0D8E" w:rsidP="008B733A">
      <w:pPr>
        <w:rPr>
          <w:rFonts w:ascii="Times New Roman" w:hAnsi="Times New Roman" w:cs="Times New Roman"/>
        </w:rPr>
      </w:pPr>
    </w:p>
    <w:p w14:paraId="7C7C4AC4" w14:textId="77777777" w:rsidR="00BC0D8E" w:rsidRDefault="00BC0D8E" w:rsidP="008B733A">
      <w:pPr>
        <w:rPr>
          <w:rFonts w:ascii="Times New Roman" w:hAnsi="Times New Roman" w:cs="Times New Roman"/>
        </w:rPr>
      </w:pPr>
    </w:p>
    <w:p w14:paraId="6A298694" w14:textId="2ED25591" w:rsidR="008B733A" w:rsidRPr="00BC0D8E" w:rsidRDefault="008B733A" w:rsidP="2535092B">
      <w:pPr>
        <w:rPr>
          <w:rFonts w:ascii="Times New Roman" w:hAnsi="Times New Roman" w:cs="Times New Roman"/>
        </w:rPr>
      </w:pPr>
    </w:p>
    <w:p w14:paraId="5DD274C6" w14:textId="3CEE70A0" w:rsidR="008B733A" w:rsidRPr="00BC0D8E" w:rsidRDefault="008B733A" w:rsidP="2535092B">
      <w:pPr>
        <w:rPr>
          <w:rFonts w:ascii="Times New Roman" w:hAnsi="Times New Roman" w:cs="Times New Roman"/>
        </w:rPr>
      </w:pPr>
    </w:p>
    <w:p w14:paraId="2A26798C" w14:textId="2462210D" w:rsidR="008B733A" w:rsidRPr="00BC0D8E" w:rsidRDefault="008B733A" w:rsidP="2535092B">
      <w:pPr>
        <w:rPr>
          <w:rFonts w:ascii="Times New Roman" w:hAnsi="Times New Roman" w:cs="Times New Roman"/>
        </w:rPr>
      </w:pPr>
    </w:p>
    <w:p w14:paraId="48B4B044" w14:textId="23830D8A" w:rsidR="008B733A" w:rsidRPr="00BC0D8E" w:rsidRDefault="008B733A" w:rsidP="2535092B">
      <w:pPr>
        <w:rPr>
          <w:rFonts w:ascii="Times New Roman" w:hAnsi="Times New Roman" w:cs="Times New Roman"/>
        </w:rPr>
      </w:pPr>
    </w:p>
    <w:p w14:paraId="484DC652" w14:textId="268041D9" w:rsidR="008B733A" w:rsidRPr="00BC0D8E" w:rsidRDefault="008B733A" w:rsidP="2535092B">
      <w:pPr>
        <w:rPr>
          <w:rFonts w:ascii="Times New Roman" w:hAnsi="Times New Roman" w:cs="Times New Roman"/>
        </w:rPr>
      </w:pPr>
    </w:p>
    <w:p w14:paraId="5A8AC5D5" w14:textId="3D088DE8" w:rsidR="008B733A" w:rsidRPr="00BC0D8E" w:rsidRDefault="008B733A" w:rsidP="2535092B">
      <w:pPr>
        <w:rPr>
          <w:rFonts w:ascii="Times New Roman" w:hAnsi="Times New Roman" w:cs="Times New Roman"/>
        </w:rPr>
      </w:pPr>
    </w:p>
    <w:p w14:paraId="1A27E528" w14:textId="67E85CCE" w:rsidR="008B733A" w:rsidRPr="00BC0D8E" w:rsidRDefault="008B733A" w:rsidP="2535092B">
      <w:pPr>
        <w:rPr>
          <w:rFonts w:ascii="Times New Roman" w:hAnsi="Times New Roman" w:cs="Times New Roman"/>
        </w:rPr>
      </w:pPr>
    </w:p>
    <w:p w14:paraId="36F66C06" w14:textId="40F6B9D2" w:rsidR="008B733A" w:rsidRPr="00BC0D8E" w:rsidRDefault="34354836" w:rsidP="008B733A">
      <w:pPr>
        <w:pStyle w:val="Heading2"/>
        <w:rPr>
          <w:rFonts w:cs="Times New Roman"/>
        </w:rPr>
      </w:pPr>
      <w:bookmarkStart w:id="0" w:name="_Toc147824640"/>
      <w:bookmarkStart w:id="1" w:name="_Toc212796728"/>
      <w:r w:rsidRPr="2535092B">
        <w:rPr>
          <w:rFonts w:cs="Times New Roman"/>
        </w:rPr>
        <w:t>3M Company (</w:t>
      </w:r>
      <w:proofErr w:type="gramStart"/>
      <w:r w:rsidRPr="2535092B">
        <w:rPr>
          <w:rFonts w:cs="Times New Roman"/>
        </w:rPr>
        <w:t>NYSE:MMM</w:t>
      </w:r>
      <w:proofErr w:type="gramEnd"/>
      <w:r w:rsidRPr="2535092B">
        <w:rPr>
          <w:rFonts w:cs="Times New Roman"/>
        </w:rPr>
        <w:t>)</w:t>
      </w:r>
      <w:bookmarkEnd w:id="0"/>
      <w:bookmarkEnd w:id="1"/>
    </w:p>
    <w:p w14:paraId="269AFAAC" w14:textId="1185F28F" w:rsidR="008B733A" w:rsidRPr="00BC0D8E" w:rsidRDefault="006E300D" w:rsidP="3CA273EB">
      <w:pPr>
        <w:pStyle w:val="Heading3"/>
        <w:rPr>
          <w:rFonts w:cs="Times New Roman"/>
          <w:color w:val="00B050"/>
        </w:rPr>
      </w:pPr>
      <w:bookmarkStart w:id="2" w:name="_Toc147824641"/>
      <w:bookmarkStart w:id="3" w:name="_Toc212796729"/>
      <w:r w:rsidRPr="35ADD9A1">
        <w:rPr>
          <w:rFonts w:cs="Times New Roman"/>
        </w:rPr>
        <w:t xml:space="preserve">Outlook: </w:t>
      </w:r>
      <w:bookmarkEnd w:id="2"/>
      <w:r w:rsidR="00B33BB5">
        <w:rPr>
          <w:rFonts w:cs="Times New Roman"/>
        </w:rPr>
        <w:t>Neutral</w:t>
      </w:r>
      <w:bookmarkEnd w:id="3"/>
    </w:p>
    <w:p w14:paraId="228F5FD1" w14:textId="77BF1100" w:rsidR="008B733A" w:rsidRPr="00BC0D8E" w:rsidRDefault="006E300D" w:rsidP="3CA273EB">
      <w:pPr>
        <w:pStyle w:val="Heading3"/>
        <w:rPr>
          <w:rFonts w:cs="Times New Roman"/>
          <w:color w:val="00B050"/>
        </w:rPr>
      </w:pPr>
      <w:bookmarkStart w:id="4" w:name="_Toc147824642"/>
      <w:bookmarkStart w:id="5" w:name="_Toc212796730"/>
      <w:r w:rsidRPr="35ADD9A1">
        <w:rPr>
          <w:rFonts w:cs="Times New Roman"/>
        </w:rPr>
        <w:t xml:space="preserve">AL Outlook: </w:t>
      </w:r>
      <w:bookmarkEnd w:id="4"/>
      <w:r w:rsidR="00B33BB5" w:rsidRPr="00AF2939">
        <w:rPr>
          <w:rFonts w:cs="Times New Roman"/>
          <w:color w:val="00B050"/>
        </w:rPr>
        <w:t>Positive</w:t>
      </w:r>
      <w:bookmarkEnd w:id="5"/>
    </w:p>
    <w:p w14:paraId="715BABC4" w14:textId="2CF1C1B7" w:rsidR="008B733A" w:rsidRPr="00BC0D8E" w:rsidRDefault="006E300D" w:rsidP="008B733A">
      <w:pPr>
        <w:rPr>
          <w:rFonts w:ascii="Times New Roman" w:hAnsi="Times New Roman" w:cs="Times New Roman"/>
        </w:rPr>
      </w:pPr>
      <w:r w:rsidRPr="0227D82F">
        <w:rPr>
          <w:rFonts w:ascii="Times New Roman" w:hAnsi="Times New Roman" w:cs="Times New Roman"/>
          <w:b/>
          <w:bCs/>
        </w:rPr>
        <w:t>Recommended Action:</w:t>
      </w:r>
      <w:r w:rsidRPr="0227D82F">
        <w:rPr>
          <w:rFonts w:ascii="Times New Roman" w:hAnsi="Times New Roman" w:cs="Times New Roman"/>
        </w:rPr>
        <w:t xml:space="preserve"> </w:t>
      </w:r>
      <w:commentRangeStart w:id="6"/>
      <w:r w:rsidR="7C06B104" w:rsidRPr="0227D82F">
        <w:rPr>
          <w:rFonts w:ascii="Times New Roman" w:hAnsi="Times New Roman" w:cs="Times New Roman"/>
        </w:rPr>
        <w:t>N/A</w:t>
      </w:r>
      <w:commentRangeEnd w:id="6"/>
      <w:r>
        <w:rPr>
          <w:rStyle w:val="CommentReference"/>
        </w:rPr>
        <w:commentReference w:id="6"/>
      </w:r>
    </w:p>
    <w:p w14:paraId="2E2297A4" w14:textId="77777777" w:rsidR="00F03266" w:rsidRDefault="75532C73" w:rsidP="00F03266">
      <w:pPr>
        <w:spacing w:beforeAutospacing="1" w:afterAutospacing="1" w:line="240" w:lineRule="auto"/>
        <w:rPr>
          <w:rFonts w:ascii="Times New Roman" w:eastAsia="Times New Roman" w:hAnsi="Times New Roman" w:cs="Times New Roman"/>
          <w:color w:val="000000" w:themeColor="text1"/>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Decatur: Advanced materials manufacturing facility; Guin: Manufacturing facility focusing on industrial adhesives, tapes, and transportation safety products.</w:t>
      </w:r>
    </w:p>
    <w:p w14:paraId="4F2CFE84" w14:textId="77777777" w:rsidR="00373A2B" w:rsidRPr="00213B86" w:rsidRDefault="00373A2B" w:rsidP="00373A2B">
      <w:pPr>
        <w:pStyle w:val="NormalWeb"/>
        <w:rPr>
          <w:sz w:val="22"/>
          <w:szCs w:val="22"/>
        </w:rPr>
      </w:pPr>
      <w:r w:rsidRPr="00213B86">
        <w:rPr>
          <w:rStyle w:val="Strong"/>
          <w:rFonts w:eastAsiaTheme="majorEastAsia"/>
          <w:sz w:val="22"/>
          <w:szCs w:val="22"/>
        </w:rPr>
        <w:lastRenderedPageBreak/>
        <w:t>Key Takeaways</w:t>
      </w:r>
    </w:p>
    <w:p w14:paraId="0C2CF06A" w14:textId="77777777" w:rsidR="00373A2B" w:rsidRPr="00213B86" w:rsidRDefault="00373A2B" w:rsidP="00127934">
      <w:pPr>
        <w:pStyle w:val="NormalWeb"/>
        <w:numPr>
          <w:ilvl w:val="0"/>
          <w:numId w:val="2"/>
        </w:numPr>
        <w:rPr>
          <w:sz w:val="22"/>
          <w:szCs w:val="22"/>
        </w:rPr>
      </w:pPr>
      <w:r w:rsidRPr="00213B86">
        <w:rPr>
          <w:sz w:val="22"/>
          <w:szCs w:val="22"/>
        </w:rPr>
        <w:t>3M delivered strong Q2 results, with earnings and revenue exceeding expectations; margins expanded significantly due to productivity gains and cost discipline.</w:t>
      </w:r>
    </w:p>
    <w:p w14:paraId="330FB98C" w14:textId="77777777" w:rsidR="00373A2B" w:rsidRPr="00213B86" w:rsidRDefault="00373A2B" w:rsidP="00127934">
      <w:pPr>
        <w:pStyle w:val="NormalWeb"/>
        <w:numPr>
          <w:ilvl w:val="0"/>
          <w:numId w:val="2"/>
        </w:numPr>
        <w:rPr>
          <w:sz w:val="22"/>
          <w:szCs w:val="22"/>
        </w:rPr>
      </w:pPr>
      <w:r w:rsidRPr="00213B86">
        <w:rPr>
          <w:sz w:val="22"/>
          <w:szCs w:val="22"/>
        </w:rPr>
        <w:t>The company is executing aggressively on its strategic priorities: innovation, operational excellence, and disciplined capital allocation.</w:t>
      </w:r>
    </w:p>
    <w:p w14:paraId="7D4DFBAF" w14:textId="77777777" w:rsidR="00373A2B" w:rsidRPr="00213B86" w:rsidRDefault="00373A2B" w:rsidP="00127934">
      <w:pPr>
        <w:pStyle w:val="NormalWeb"/>
        <w:numPr>
          <w:ilvl w:val="0"/>
          <w:numId w:val="2"/>
        </w:numPr>
        <w:rPr>
          <w:sz w:val="22"/>
          <w:szCs w:val="22"/>
        </w:rPr>
      </w:pPr>
      <w:r w:rsidRPr="00213B86">
        <w:rPr>
          <w:sz w:val="22"/>
          <w:szCs w:val="22"/>
        </w:rPr>
        <w:t>New product introductions surged 70% YoY, and 5-year new product sales are on pace to grow &gt;15% in 2025.</w:t>
      </w:r>
    </w:p>
    <w:p w14:paraId="33BD61E2" w14:textId="77777777" w:rsidR="00373A2B" w:rsidRPr="00213B86" w:rsidRDefault="00373A2B" w:rsidP="00127934">
      <w:pPr>
        <w:pStyle w:val="NormalWeb"/>
        <w:numPr>
          <w:ilvl w:val="0"/>
          <w:numId w:val="2"/>
        </w:numPr>
        <w:rPr>
          <w:sz w:val="22"/>
          <w:szCs w:val="22"/>
        </w:rPr>
      </w:pPr>
      <w:r w:rsidRPr="00213B86">
        <w:rPr>
          <w:sz w:val="22"/>
          <w:szCs w:val="22"/>
        </w:rPr>
        <w:t>Investments in commercial excellence (sales enablement, cross-selling, pricing rigor) are driving higher conversion rates and order wins.</w:t>
      </w:r>
    </w:p>
    <w:p w14:paraId="0360F7F1" w14:textId="77777777" w:rsidR="00373A2B" w:rsidRPr="00213B86" w:rsidRDefault="00373A2B" w:rsidP="00127934">
      <w:pPr>
        <w:pStyle w:val="NormalWeb"/>
        <w:numPr>
          <w:ilvl w:val="0"/>
          <w:numId w:val="2"/>
        </w:numPr>
        <w:rPr>
          <w:sz w:val="22"/>
          <w:szCs w:val="22"/>
        </w:rPr>
      </w:pPr>
      <w:r w:rsidRPr="00213B86">
        <w:rPr>
          <w:sz w:val="22"/>
          <w:szCs w:val="22"/>
        </w:rPr>
        <w:t>3M continues to optimize manufacturing operations, decommissioning older coaters and consolidating production to higher-efficiency assets.</w:t>
      </w:r>
    </w:p>
    <w:p w14:paraId="3A148E0D" w14:textId="77777777" w:rsidR="00373A2B" w:rsidRPr="00213B86" w:rsidRDefault="00373A2B" w:rsidP="00127934">
      <w:pPr>
        <w:pStyle w:val="NormalWeb"/>
        <w:numPr>
          <w:ilvl w:val="0"/>
          <w:numId w:val="2"/>
        </w:numPr>
        <w:rPr>
          <w:sz w:val="22"/>
          <w:szCs w:val="22"/>
        </w:rPr>
      </w:pPr>
      <w:r w:rsidRPr="00213B86">
        <w:rPr>
          <w:sz w:val="22"/>
          <w:szCs w:val="22"/>
        </w:rPr>
        <w:t>Facilities in Decatur and Guin, Alabama, are likely contributing to segment performance, especially in adhesives, tapes, and electronics, as industrial markets improve.</w:t>
      </w:r>
    </w:p>
    <w:p w14:paraId="419A56B9" w14:textId="77777777" w:rsidR="00373A2B" w:rsidRPr="00213B86" w:rsidRDefault="00373A2B" w:rsidP="00373A2B">
      <w:pPr>
        <w:pStyle w:val="NormalWeb"/>
        <w:rPr>
          <w:sz w:val="22"/>
          <w:szCs w:val="22"/>
        </w:rPr>
      </w:pPr>
      <w:r w:rsidRPr="00213B86">
        <w:rPr>
          <w:rStyle w:val="Strong"/>
          <w:rFonts w:eastAsiaTheme="majorEastAsia"/>
          <w:sz w:val="22"/>
          <w:szCs w:val="22"/>
        </w:rPr>
        <w:t>Financial Highlights</w:t>
      </w:r>
    </w:p>
    <w:p w14:paraId="58FDD46B" w14:textId="77777777" w:rsidR="00373A2B" w:rsidRPr="00213B86" w:rsidRDefault="00373A2B" w:rsidP="00127934">
      <w:pPr>
        <w:pStyle w:val="NormalWeb"/>
        <w:numPr>
          <w:ilvl w:val="0"/>
          <w:numId w:val="3"/>
        </w:numPr>
        <w:rPr>
          <w:sz w:val="22"/>
          <w:szCs w:val="22"/>
        </w:rPr>
      </w:pPr>
      <w:r w:rsidRPr="00213B86">
        <w:rPr>
          <w:sz w:val="22"/>
          <w:szCs w:val="22"/>
        </w:rPr>
        <w:t>Revenue for Q2 2025 reached $6.34 billion, a +4.5% increase YoY, driven by growth in all three business segments.</w:t>
      </w:r>
    </w:p>
    <w:p w14:paraId="1CCAE537" w14:textId="77777777" w:rsidR="00373A2B" w:rsidRPr="00213B86" w:rsidRDefault="00373A2B" w:rsidP="00127934">
      <w:pPr>
        <w:pStyle w:val="NormalWeb"/>
        <w:numPr>
          <w:ilvl w:val="0"/>
          <w:numId w:val="3"/>
        </w:numPr>
        <w:rPr>
          <w:sz w:val="22"/>
          <w:szCs w:val="22"/>
        </w:rPr>
      </w:pPr>
      <w:r w:rsidRPr="00213B86">
        <w:rPr>
          <w:sz w:val="22"/>
          <w:szCs w:val="22"/>
        </w:rPr>
        <w:t>Adjusted EPS came in at $2.16, up 12% YoY, and 7.5% above analyst consensus of $2.01.</w:t>
      </w:r>
    </w:p>
    <w:p w14:paraId="2EC82860" w14:textId="77777777" w:rsidR="00373A2B" w:rsidRPr="00213B86" w:rsidRDefault="00373A2B" w:rsidP="00127934">
      <w:pPr>
        <w:pStyle w:val="NormalWeb"/>
        <w:numPr>
          <w:ilvl w:val="0"/>
          <w:numId w:val="3"/>
        </w:numPr>
        <w:rPr>
          <w:sz w:val="22"/>
          <w:szCs w:val="22"/>
        </w:rPr>
      </w:pPr>
      <w:r w:rsidRPr="00213B86">
        <w:rPr>
          <w:sz w:val="22"/>
          <w:szCs w:val="22"/>
        </w:rPr>
        <w:t>Adjusted operating margin was 24.5%, up 290 basis points YoY, reflecting robust productivity and cost savings.</w:t>
      </w:r>
    </w:p>
    <w:p w14:paraId="4FC1C9F5" w14:textId="77777777" w:rsidR="00373A2B" w:rsidRPr="00213B86" w:rsidRDefault="00373A2B" w:rsidP="00127934">
      <w:pPr>
        <w:pStyle w:val="NormalWeb"/>
        <w:numPr>
          <w:ilvl w:val="0"/>
          <w:numId w:val="3"/>
        </w:numPr>
        <w:rPr>
          <w:sz w:val="22"/>
          <w:szCs w:val="22"/>
        </w:rPr>
      </w:pPr>
      <w:r w:rsidRPr="00213B86">
        <w:rPr>
          <w:sz w:val="22"/>
          <w:szCs w:val="22"/>
        </w:rPr>
        <w:t>Free cash flow for the quarter was $1.3 billion, with 110% conversion, aided by stronger working capital discipline.</w:t>
      </w:r>
    </w:p>
    <w:p w14:paraId="586DA919" w14:textId="77777777" w:rsidR="00373A2B" w:rsidRPr="00213B86" w:rsidRDefault="00373A2B" w:rsidP="00127934">
      <w:pPr>
        <w:pStyle w:val="NormalWeb"/>
        <w:numPr>
          <w:ilvl w:val="0"/>
          <w:numId w:val="3"/>
        </w:numPr>
        <w:rPr>
          <w:sz w:val="22"/>
          <w:szCs w:val="22"/>
        </w:rPr>
      </w:pPr>
      <w:r w:rsidRPr="00213B86">
        <w:rPr>
          <w:sz w:val="22"/>
          <w:szCs w:val="22"/>
        </w:rPr>
        <w:t>The company repurchased $1 billion in shares and paid $400 million in dividends during the quarter, totaling $2.2 billion in buybacks YTD.</w:t>
      </w:r>
    </w:p>
    <w:p w14:paraId="01FD0FE8" w14:textId="77777777" w:rsidR="00373A2B" w:rsidRPr="00213B86" w:rsidRDefault="00373A2B" w:rsidP="00127934">
      <w:pPr>
        <w:pStyle w:val="NormalWeb"/>
        <w:numPr>
          <w:ilvl w:val="0"/>
          <w:numId w:val="3"/>
        </w:numPr>
        <w:rPr>
          <w:sz w:val="22"/>
          <w:szCs w:val="22"/>
        </w:rPr>
      </w:pPr>
      <w:r w:rsidRPr="00213B86">
        <w:rPr>
          <w:sz w:val="22"/>
          <w:szCs w:val="22"/>
        </w:rPr>
        <w:t>Full-year EPS guidance was raised to $7.75–$8.00, inclusive of tariff impacts, and organic growth is now projected at ~2% (low end of previous 2–3% range).</w:t>
      </w:r>
    </w:p>
    <w:p w14:paraId="6457F95E" w14:textId="77777777" w:rsidR="00373A2B" w:rsidRPr="00213B86" w:rsidRDefault="00373A2B" w:rsidP="00373A2B">
      <w:pPr>
        <w:pStyle w:val="NormalWeb"/>
        <w:rPr>
          <w:sz w:val="22"/>
          <w:szCs w:val="22"/>
        </w:rPr>
      </w:pPr>
      <w:r w:rsidRPr="00213B86">
        <w:rPr>
          <w:rStyle w:val="Strong"/>
          <w:rFonts w:eastAsiaTheme="majorEastAsia"/>
          <w:sz w:val="22"/>
          <w:szCs w:val="22"/>
        </w:rPr>
        <w:t>Operational Highlights</w:t>
      </w:r>
    </w:p>
    <w:p w14:paraId="1E066CEF" w14:textId="77777777" w:rsidR="00373A2B" w:rsidRPr="00213B86" w:rsidRDefault="00373A2B" w:rsidP="00127934">
      <w:pPr>
        <w:pStyle w:val="NormalWeb"/>
        <w:numPr>
          <w:ilvl w:val="0"/>
          <w:numId w:val="4"/>
        </w:numPr>
        <w:rPr>
          <w:sz w:val="22"/>
          <w:szCs w:val="22"/>
        </w:rPr>
      </w:pPr>
      <w:r w:rsidRPr="00213B86">
        <w:rPr>
          <w:sz w:val="22"/>
          <w:szCs w:val="22"/>
        </w:rPr>
        <w:t>Productivity drove $300 million in Q2 benefit: $150M from supply chain efficiencies (OEE, quality, logistics) and $150M from SG&amp;A/IT optimization.</w:t>
      </w:r>
    </w:p>
    <w:p w14:paraId="778DD8E0" w14:textId="77777777" w:rsidR="00373A2B" w:rsidRPr="00213B86" w:rsidRDefault="00373A2B" w:rsidP="00127934">
      <w:pPr>
        <w:pStyle w:val="NormalWeb"/>
        <w:numPr>
          <w:ilvl w:val="0"/>
          <w:numId w:val="4"/>
        </w:numPr>
        <w:rPr>
          <w:sz w:val="22"/>
          <w:szCs w:val="22"/>
        </w:rPr>
      </w:pPr>
      <w:r w:rsidRPr="00213B86">
        <w:rPr>
          <w:sz w:val="22"/>
          <w:szCs w:val="22"/>
        </w:rPr>
        <w:t>On-time-in-</w:t>
      </w:r>
      <w:proofErr w:type="gramStart"/>
      <w:r w:rsidRPr="00213B86">
        <w:rPr>
          <w:sz w:val="22"/>
          <w:szCs w:val="22"/>
        </w:rPr>
        <w:t>full</w:t>
      </w:r>
      <w:proofErr w:type="gramEnd"/>
      <w:r w:rsidRPr="00213B86">
        <w:rPr>
          <w:sz w:val="22"/>
          <w:szCs w:val="22"/>
        </w:rPr>
        <w:t xml:space="preserve"> (OTIF) delivery performance reached 89.6%, the best in nearly 6 years, improving across all business groups.</w:t>
      </w:r>
    </w:p>
    <w:p w14:paraId="17C5F13A" w14:textId="77777777" w:rsidR="00373A2B" w:rsidRPr="00213B86" w:rsidRDefault="00373A2B" w:rsidP="00127934">
      <w:pPr>
        <w:pStyle w:val="NormalWeb"/>
        <w:numPr>
          <w:ilvl w:val="0"/>
          <w:numId w:val="4"/>
        </w:numPr>
        <w:rPr>
          <w:sz w:val="22"/>
          <w:szCs w:val="22"/>
        </w:rPr>
      </w:pPr>
      <w:r w:rsidRPr="00213B86">
        <w:rPr>
          <w:sz w:val="22"/>
          <w:szCs w:val="22"/>
        </w:rPr>
        <w:t>Cost per quality metric declined to 6.1%, down 90 bps YoY, driven by AI-enabled process optimizations and fewer changeover errors.</w:t>
      </w:r>
    </w:p>
    <w:p w14:paraId="1FC40E9F" w14:textId="77777777" w:rsidR="00373A2B" w:rsidRPr="00213B86" w:rsidRDefault="00373A2B" w:rsidP="00127934">
      <w:pPr>
        <w:pStyle w:val="NormalWeb"/>
        <w:numPr>
          <w:ilvl w:val="0"/>
          <w:numId w:val="4"/>
        </w:numPr>
        <w:rPr>
          <w:sz w:val="22"/>
          <w:szCs w:val="22"/>
        </w:rPr>
      </w:pPr>
      <w:r w:rsidRPr="00213B86">
        <w:rPr>
          <w:sz w:val="22"/>
          <w:szCs w:val="22"/>
        </w:rPr>
        <w:t>Operational excellence initiatives led to retirement of aging coaters at multiple sites; one Knoxville, Iowa coater improvement freed capacity to shut down two 70-year-old machines.</w:t>
      </w:r>
    </w:p>
    <w:p w14:paraId="3F71A75A" w14:textId="77777777" w:rsidR="00373A2B" w:rsidRPr="00213B86" w:rsidRDefault="00373A2B" w:rsidP="00127934">
      <w:pPr>
        <w:pStyle w:val="NormalWeb"/>
        <w:numPr>
          <w:ilvl w:val="0"/>
          <w:numId w:val="4"/>
        </w:numPr>
        <w:rPr>
          <w:sz w:val="22"/>
          <w:szCs w:val="22"/>
        </w:rPr>
      </w:pPr>
      <w:r w:rsidRPr="00213B86">
        <w:rPr>
          <w:sz w:val="22"/>
          <w:szCs w:val="22"/>
        </w:rPr>
        <w:t xml:space="preserve">Strong salesforce productivity from commercial excellence training: 400+ managers trained globally, 48 cross-selling pairs </w:t>
      </w:r>
      <w:proofErr w:type="gramStart"/>
      <w:r w:rsidRPr="00213B86">
        <w:rPr>
          <w:sz w:val="22"/>
          <w:szCs w:val="22"/>
        </w:rPr>
        <w:t>created</w:t>
      </w:r>
      <w:proofErr w:type="gramEnd"/>
      <w:r w:rsidRPr="00213B86">
        <w:rPr>
          <w:sz w:val="22"/>
          <w:szCs w:val="22"/>
        </w:rPr>
        <w:t>, and $10M in new cross-</w:t>
      </w:r>
      <w:proofErr w:type="gramStart"/>
      <w:r w:rsidRPr="00213B86">
        <w:rPr>
          <w:sz w:val="22"/>
          <w:szCs w:val="22"/>
        </w:rPr>
        <w:t>sell</w:t>
      </w:r>
      <w:proofErr w:type="gramEnd"/>
      <w:r w:rsidRPr="00213B86">
        <w:rPr>
          <w:sz w:val="22"/>
          <w:szCs w:val="22"/>
        </w:rPr>
        <w:t xml:space="preserve"> orders booked.</w:t>
      </w:r>
    </w:p>
    <w:p w14:paraId="062E0D60" w14:textId="77777777" w:rsidR="00373A2B" w:rsidRPr="00213B86" w:rsidRDefault="00373A2B" w:rsidP="00127934">
      <w:pPr>
        <w:pStyle w:val="NormalWeb"/>
        <w:numPr>
          <w:ilvl w:val="0"/>
          <w:numId w:val="4"/>
        </w:numPr>
        <w:rPr>
          <w:sz w:val="22"/>
          <w:szCs w:val="22"/>
        </w:rPr>
      </w:pPr>
      <w:r w:rsidRPr="00213B86">
        <w:rPr>
          <w:sz w:val="22"/>
          <w:szCs w:val="22"/>
        </w:rPr>
        <w:t>IT and shared services cost reduction underway: mainframe, cloud, network rationalization and vendor optimization produced near-term G&amp;A savings with long-term benefits.</w:t>
      </w:r>
    </w:p>
    <w:p w14:paraId="2FC3E202" w14:textId="77777777" w:rsidR="00373A2B" w:rsidRPr="00213B86" w:rsidRDefault="00373A2B" w:rsidP="00373A2B">
      <w:pPr>
        <w:pStyle w:val="NormalWeb"/>
        <w:rPr>
          <w:sz w:val="22"/>
          <w:szCs w:val="22"/>
        </w:rPr>
      </w:pPr>
      <w:r w:rsidRPr="00213B86">
        <w:rPr>
          <w:rStyle w:val="Strong"/>
          <w:rFonts w:eastAsiaTheme="majorEastAsia"/>
          <w:sz w:val="22"/>
          <w:szCs w:val="22"/>
        </w:rPr>
        <w:t>Business Expansions &amp; Capital Expenditure Plans</w:t>
      </w:r>
    </w:p>
    <w:p w14:paraId="08C2412B" w14:textId="77777777" w:rsidR="00373A2B" w:rsidRPr="00213B86" w:rsidRDefault="00373A2B" w:rsidP="00127934">
      <w:pPr>
        <w:pStyle w:val="NormalWeb"/>
        <w:numPr>
          <w:ilvl w:val="0"/>
          <w:numId w:val="5"/>
        </w:numPr>
        <w:rPr>
          <w:sz w:val="22"/>
          <w:szCs w:val="22"/>
        </w:rPr>
      </w:pPr>
      <w:r w:rsidRPr="00213B86">
        <w:rPr>
          <w:sz w:val="22"/>
          <w:szCs w:val="22"/>
        </w:rPr>
        <w:t>3M invested ~$175 million YTD in growth initiatives, including:</w:t>
      </w:r>
    </w:p>
    <w:p w14:paraId="1F4ACB51" w14:textId="77777777" w:rsidR="00373A2B" w:rsidRPr="00213B86" w:rsidRDefault="00373A2B" w:rsidP="00127934">
      <w:pPr>
        <w:pStyle w:val="NormalWeb"/>
        <w:numPr>
          <w:ilvl w:val="1"/>
          <w:numId w:val="5"/>
        </w:numPr>
        <w:rPr>
          <w:sz w:val="22"/>
          <w:szCs w:val="22"/>
        </w:rPr>
      </w:pPr>
      <w:r w:rsidRPr="00213B86">
        <w:rPr>
          <w:sz w:val="22"/>
          <w:szCs w:val="22"/>
        </w:rPr>
        <w:t>R&amp;D hiring (+150 employees since Q4 2024)</w:t>
      </w:r>
    </w:p>
    <w:p w14:paraId="13669ADA" w14:textId="77777777" w:rsidR="00373A2B" w:rsidRPr="00213B86" w:rsidRDefault="00373A2B" w:rsidP="00127934">
      <w:pPr>
        <w:pStyle w:val="NormalWeb"/>
        <w:numPr>
          <w:ilvl w:val="1"/>
          <w:numId w:val="5"/>
        </w:numPr>
        <w:rPr>
          <w:sz w:val="22"/>
          <w:szCs w:val="22"/>
        </w:rPr>
      </w:pPr>
      <w:r w:rsidRPr="00213B86">
        <w:rPr>
          <w:sz w:val="22"/>
          <w:szCs w:val="22"/>
        </w:rPr>
        <w:t>Boosted advertising and merchandising in Consumer segment</w:t>
      </w:r>
    </w:p>
    <w:p w14:paraId="624F480D" w14:textId="77777777" w:rsidR="00373A2B" w:rsidRPr="00213B86" w:rsidRDefault="00373A2B" w:rsidP="00127934">
      <w:pPr>
        <w:pStyle w:val="NormalWeb"/>
        <w:numPr>
          <w:ilvl w:val="1"/>
          <w:numId w:val="5"/>
        </w:numPr>
        <w:rPr>
          <w:sz w:val="22"/>
          <w:szCs w:val="22"/>
        </w:rPr>
      </w:pPr>
      <w:r w:rsidRPr="00213B86">
        <w:rPr>
          <w:sz w:val="22"/>
          <w:szCs w:val="22"/>
        </w:rPr>
        <w:t>Strategic IT enhancements aligned with sales acceleration</w:t>
      </w:r>
    </w:p>
    <w:p w14:paraId="168C1708" w14:textId="77777777" w:rsidR="00373A2B" w:rsidRPr="00213B86" w:rsidRDefault="00373A2B" w:rsidP="00127934">
      <w:pPr>
        <w:pStyle w:val="NormalWeb"/>
        <w:numPr>
          <w:ilvl w:val="0"/>
          <w:numId w:val="5"/>
        </w:numPr>
        <w:rPr>
          <w:sz w:val="22"/>
          <w:szCs w:val="22"/>
        </w:rPr>
      </w:pPr>
      <w:r w:rsidRPr="00213B86">
        <w:rPr>
          <w:sz w:val="22"/>
          <w:szCs w:val="22"/>
        </w:rPr>
        <w:lastRenderedPageBreak/>
        <w:t xml:space="preserve">R&amp;D as % of sales </w:t>
      </w:r>
      <w:proofErr w:type="gramStart"/>
      <w:r w:rsidRPr="00213B86">
        <w:rPr>
          <w:sz w:val="22"/>
          <w:szCs w:val="22"/>
        </w:rPr>
        <w:t>is</w:t>
      </w:r>
      <w:proofErr w:type="gramEnd"/>
      <w:r w:rsidRPr="00213B86">
        <w:rPr>
          <w:sz w:val="22"/>
          <w:szCs w:val="22"/>
        </w:rPr>
        <w:t xml:space="preserve"> increasing, with reallocation of talent from PFAS-related teams to new product development.</w:t>
      </w:r>
    </w:p>
    <w:p w14:paraId="175C4E7F" w14:textId="77777777" w:rsidR="00373A2B" w:rsidRPr="00213B86" w:rsidRDefault="00373A2B" w:rsidP="00127934">
      <w:pPr>
        <w:pStyle w:val="NormalWeb"/>
        <w:numPr>
          <w:ilvl w:val="0"/>
          <w:numId w:val="5"/>
        </w:numPr>
        <w:rPr>
          <w:sz w:val="22"/>
          <w:szCs w:val="22"/>
        </w:rPr>
      </w:pPr>
      <w:r w:rsidRPr="00213B86">
        <w:rPr>
          <w:sz w:val="22"/>
          <w:szCs w:val="22"/>
        </w:rPr>
        <w:t>Continued push into commercial excellence programs beyond U.S., with new rollouts in Europe and Asia underway.</w:t>
      </w:r>
    </w:p>
    <w:p w14:paraId="4B3C27A4" w14:textId="77777777" w:rsidR="00373A2B" w:rsidRPr="00213B86" w:rsidRDefault="00373A2B" w:rsidP="00127934">
      <w:pPr>
        <w:pStyle w:val="NormalWeb"/>
        <w:numPr>
          <w:ilvl w:val="0"/>
          <w:numId w:val="5"/>
        </w:numPr>
        <w:rPr>
          <w:sz w:val="22"/>
          <w:szCs w:val="22"/>
        </w:rPr>
      </w:pPr>
      <w:r w:rsidRPr="00213B86">
        <w:rPr>
          <w:sz w:val="22"/>
          <w:szCs w:val="22"/>
        </w:rPr>
        <w:t>Facility modernization efforts focused on improving productivity (e.g., adhesive and coating lines), with likely impacts at Decatur and Guin, Alabama plants involved in advanced materials and transportation safety solutions.</w:t>
      </w:r>
    </w:p>
    <w:p w14:paraId="5DC99FAF" w14:textId="77777777" w:rsidR="00373A2B" w:rsidRPr="00213B86" w:rsidRDefault="00373A2B" w:rsidP="00127934">
      <w:pPr>
        <w:pStyle w:val="NormalWeb"/>
        <w:numPr>
          <w:ilvl w:val="0"/>
          <w:numId w:val="5"/>
        </w:numPr>
        <w:rPr>
          <w:sz w:val="22"/>
          <w:szCs w:val="22"/>
        </w:rPr>
      </w:pPr>
      <w:r w:rsidRPr="00213B86">
        <w:rPr>
          <w:sz w:val="22"/>
          <w:szCs w:val="22"/>
        </w:rPr>
        <w:t>Exploring capacity consolidation to further optimize underperforming or low-efficiency manufacturing assets.</w:t>
      </w:r>
    </w:p>
    <w:p w14:paraId="1AFFE600" w14:textId="77777777" w:rsidR="00373A2B" w:rsidRPr="00213B86" w:rsidRDefault="00373A2B" w:rsidP="00127934">
      <w:pPr>
        <w:pStyle w:val="NormalWeb"/>
        <w:numPr>
          <w:ilvl w:val="0"/>
          <w:numId w:val="5"/>
        </w:numPr>
        <w:rPr>
          <w:sz w:val="22"/>
          <w:szCs w:val="22"/>
        </w:rPr>
      </w:pPr>
      <w:r w:rsidRPr="00213B86">
        <w:rPr>
          <w:sz w:val="22"/>
          <w:szCs w:val="22"/>
        </w:rPr>
        <w:t>Maintaining capital deployment flexibility with an opportunistic approach to share repurchases amid volatile macro conditions.</w:t>
      </w:r>
    </w:p>
    <w:p w14:paraId="66275747" w14:textId="77777777" w:rsidR="00373A2B" w:rsidRPr="00213B86" w:rsidRDefault="00373A2B" w:rsidP="00373A2B">
      <w:pPr>
        <w:pStyle w:val="NormalWeb"/>
        <w:rPr>
          <w:sz w:val="22"/>
          <w:szCs w:val="22"/>
        </w:rPr>
      </w:pPr>
      <w:r w:rsidRPr="00213B86">
        <w:rPr>
          <w:rStyle w:val="Strong"/>
          <w:rFonts w:eastAsiaTheme="majorEastAsia"/>
          <w:sz w:val="22"/>
          <w:szCs w:val="22"/>
        </w:rPr>
        <w:t>Segment Performance &amp; Outlook</w:t>
      </w:r>
    </w:p>
    <w:p w14:paraId="0E4C315D" w14:textId="77777777" w:rsidR="00373A2B" w:rsidRPr="00213B86" w:rsidRDefault="00373A2B" w:rsidP="00127934">
      <w:pPr>
        <w:pStyle w:val="NormalWeb"/>
        <w:numPr>
          <w:ilvl w:val="0"/>
          <w:numId w:val="6"/>
        </w:numPr>
        <w:rPr>
          <w:sz w:val="22"/>
          <w:szCs w:val="22"/>
        </w:rPr>
      </w:pPr>
      <w:r w:rsidRPr="00213B86">
        <w:rPr>
          <w:sz w:val="22"/>
          <w:szCs w:val="22"/>
        </w:rPr>
        <w:t>All three business groups delivered positive organic growth YoY for the third consecutive quarter:</w:t>
      </w:r>
    </w:p>
    <w:p w14:paraId="1C0E65D9" w14:textId="77777777" w:rsidR="00373A2B" w:rsidRPr="00213B86" w:rsidRDefault="00373A2B" w:rsidP="00127934">
      <w:pPr>
        <w:pStyle w:val="NormalWeb"/>
        <w:numPr>
          <w:ilvl w:val="1"/>
          <w:numId w:val="6"/>
        </w:numPr>
        <w:rPr>
          <w:sz w:val="22"/>
          <w:szCs w:val="22"/>
        </w:rPr>
      </w:pPr>
      <w:r w:rsidRPr="00213B86">
        <w:rPr>
          <w:sz w:val="22"/>
          <w:szCs w:val="22"/>
        </w:rPr>
        <w:t>Safety &amp; Industrial (SIBG): +2.6% growth, with 6 of 7 divisions up; strength in abrasives, industrial adhesives, and electrical markets</w:t>
      </w:r>
    </w:p>
    <w:p w14:paraId="6F65FDFC" w14:textId="77777777" w:rsidR="00373A2B" w:rsidRPr="00213B86" w:rsidRDefault="00373A2B" w:rsidP="00127934">
      <w:pPr>
        <w:pStyle w:val="NormalWeb"/>
        <w:numPr>
          <w:ilvl w:val="1"/>
          <w:numId w:val="6"/>
        </w:numPr>
        <w:rPr>
          <w:sz w:val="22"/>
          <w:szCs w:val="22"/>
        </w:rPr>
      </w:pPr>
      <w:r w:rsidRPr="00213B86">
        <w:rPr>
          <w:sz w:val="22"/>
          <w:szCs w:val="22"/>
        </w:rPr>
        <w:t>Transportation &amp; Electronics (TEBG): +1.0%; growth in auto personalization and aerospace; auto OEMs weak in EU/US</w:t>
      </w:r>
    </w:p>
    <w:p w14:paraId="36CDA9AE" w14:textId="77777777" w:rsidR="00373A2B" w:rsidRPr="00213B86" w:rsidRDefault="00373A2B" w:rsidP="00127934">
      <w:pPr>
        <w:pStyle w:val="NormalWeb"/>
        <w:numPr>
          <w:ilvl w:val="1"/>
          <w:numId w:val="6"/>
        </w:numPr>
        <w:rPr>
          <w:sz w:val="22"/>
          <w:szCs w:val="22"/>
        </w:rPr>
      </w:pPr>
      <w:r w:rsidRPr="00213B86">
        <w:rPr>
          <w:sz w:val="22"/>
          <w:szCs w:val="22"/>
        </w:rPr>
        <w:t xml:space="preserve">Consumer (CBG): +0.3%; Scotch-Brite, Command, and </w:t>
      </w:r>
      <w:proofErr w:type="spellStart"/>
      <w:r w:rsidRPr="00213B86">
        <w:rPr>
          <w:sz w:val="22"/>
          <w:szCs w:val="22"/>
        </w:rPr>
        <w:t>Filtrete</w:t>
      </w:r>
      <w:proofErr w:type="spellEnd"/>
      <w:r w:rsidRPr="00213B86">
        <w:rPr>
          <w:sz w:val="22"/>
          <w:szCs w:val="22"/>
        </w:rPr>
        <w:t xml:space="preserve"> platforms launched new SKUs despite soft retail demand</w:t>
      </w:r>
    </w:p>
    <w:p w14:paraId="0AF338E1" w14:textId="77777777" w:rsidR="00373A2B" w:rsidRPr="00213B86" w:rsidRDefault="00373A2B" w:rsidP="00127934">
      <w:pPr>
        <w:pStyle w:val="NormalWeb"/>
        <w:numPr>
          <w:ilvl w:val="0"/>
          <w:numId w:val="6"/>
        </w:numPr>
        <w:rPr>
          <w:sz w:val="22"/>
          <w:szCs w:val="22"/>
        </w:rPr>
      </w:pPr>
      <w:r w:rsidRPr="00213B86">
        <w:rPr>
          <w:sz w:val="22"/>
          <w:szCs w:val="22"/>
        </w:rPr>
        <w:t>Auto OEM and aftermarket segments were weak but offset by strength in industrial, personal safety, and electronics bonding.</w:t>
      </w:r>
    </w:p>
    <w:p w14:paraId="2FD9B9D9" w14:textId="77777777" w:rsidR="00373A2B" w:rsidRPr="00213B86" w:rsidRDefault="00373A2B" w:rsidP="00127934">
      <w:pPr>
        <w:pStyle w:val="NormalWeb"/>
        <w:numPr>
          <w:ilvl w:val="0"/>
          <w:numId w:val="6"/>
        </w:numPr>
        <w:rPr>
          <w:sz w:val="22"/>
          <w:szCs w:val="22"/>
        </w:rPr>
      </w:pPr>
      <w:r w:rsidRPr="00213B86">
        <w:rPr>
          <w:sz w:val="22"/>
          <w:szCs w:val="22"/>
        </w:rPr>
        <w:t>Growth in electronics bonding, adhesives, and industrial specialties may be supporting output at 3M’s Decatur, AL advanced materials facility.</w:t>
      </w:r>
    </w:p>
    <w:p w14:paraId="4EBB96D1" w14:textId="77777777" w:rsidR="00373A2B" w:rsidRPr="00213B86" w:rsidRDefault="00373A2B" w:rsidP="00127934">
      <w:pPr>
        <w:pStyle w:val="NormalWeb"/>
        <w:numPr>
          <w:ilvl w:val="0"/>
          <w:numId w:val="6"/>
        </w:numPr>
        <w:rPr>
          <w:sz w:val="22"/>
          <w:szCs w:val="22"/>
        </w:rPr>
      </w:pPr>
      <w:r w:rsidRPr="00213B86">
        <w:rPr>
          <w:sz w:val="22"/>
          <w:szCs w:val="22"/>
        </w:rPr>
        <w:t>Guin, AL facility, focused on transportation safety and tapes, likely benefits from improvements in commercial graphics and transportation infrastructure orders.</w:t>
      </w:r>
    </w:p>
    <w:p w14:paraId="0D95B9BA" w14:textId="77777777" w:rsidR="00373A2B" w:rsidRPr="00213B86" w:rsidRDefault="00373A2B" w:rsidP="00127934">
      <w:pPr>
        <w:pStyle w:val="NormalWeb"/>
        <w:numPr>
          <w:ilvl w:val="0"/>
          <w:numId w:val="6"/>
        </w:numPr>
        <w:rPr>
          <w:sz w:val="22"/>
          <w:szCs w:val="22"/>
        </w:rPr>
      </w:pPr>
      <w:r w:rsidRPr="00213B86">
        <w:rPr>
          <w:sz w:val="22"/>
          <w:szCs w:val="22"/>
        </w:rPr>
        <w:t>Margin expansion across all business groups:</w:t>
      </w:r>
    </w:p>
    <w:p w14:paraId="4402DA54" w14:textId="77777777" w:rsidR="00373A2B" w:rsidRPr="00213B86" w:rsidRDefault="00373A2B" w:rsidP="00127934">
      <w:pPr>
        <w:pStyle w:val="NormalWeb"/>
        <w:numPr>
          <w:ilvl w:val="1"/>
          <w:numId w:val="6"/>
        </w:numPr>
        <w:rPr>
          <w:sz w:val="22"/>
          <w:szCs w:val="22"/>
        </w:rPr>
      </w:pPr>
      <w:r w:rsidRPr="00213B86">
        <w:rPr>
          <w:sz w:val="22"/>
          <w:szCs w:val="22"/>
        </w:rPr>
        <w:t>SIBG: +320 bps YoY</w:t>
      </w:r>
    </w:p>
    <w:p w14:paraId="3C7EA67A" w14:textId="77777777" w:rsidR="00373A2B" w:rsidRPr="00213B86" w:rsidRDefault="00373A2B" w:rsidP="00127934">
      <w:pPr>
        <w:pStyle w:val="NormalWeb"/>
        <w:numPr>
          <w:ilvl w:val="1"/>
          <w:numId w:val="6"/>
        </w:numPr>
        <w:rPr>
          <w:sz w:val="22"/>
          <w:szCs w:val="22"/>
        </w:rPr>
      </w:pPr>
      <w:r w:rsidRPr="00213B86">
        <w:rPr>
          <w:sz w:val="22"/>
          <w:szCs w:val="22"/>
        </w:rPr>
        <w:t>TEBG: +230 bps</w:t>
      </w:r>
    </w:p>
    <w:p w14:paraId="61C5679E" w14:textId="77777777" w:rsidR="00373A2B" w:rsidRPr="00213B86" w:rsidRDefault="00373A2B" w:rsidP="00127934">
      <w:pPr>
        <w:pStyle w:val="NormalWeb"/>
        <w:numPr>
          <w:ilvl w:val="1"/>
          <w:numId w:val="6"/>
        </w:numPr>
        <w:rPr>
          <w:sz w:val="22"/>
          <w:szCs w:val="22"/>
        </w:rPr>
      </w:pPr>
      <w:r w:rsidRPr="00213B86">
        <w:rPr>
          <w:sz w:val="22"/>
          <w:szCs w:val="22"/>
        </w:rPr>
        <w:t>CBG: +370 bps</w:t>
      </w:r>
    </w:p>
    <w:p w14:paraId="6D24F54F" w14:textId="77777777" w:rsidR="00373A2B" w:rsidRPr="00213B86" w:rsidRDefault="00373A2B" w:rsidP="00127934">
      <w:pPr>
        <w:pStyle w:val="NormalWeb"/>
        <w:numPr>
          <w:ilvl w:val="0"/>
          <w:numId w:val="6"/>
        </w:numPr>
        <w:rPr>
          <w:sz w:val="22"/>
          <w:szCs w:val="22"/>
        </w:rPr>
      </w:pPr>
      <w:r w:rsidRPr="00213B86">
        <w:rPr>
          <w:sz w:val="22"/>
          <w:szCs w:val="22"/>
        </w:rPr>
        <w:t>Near-term demand trends remain laterally stable, but internal initiatives are driving share gains, backlog growth, and better pricing discipline.</w:t>
      </w:r>
    </w:p>
    <w:p w14:paraId="34D2C2AC" w14:textId="77777777" w:rsidR="00236DCE" w:rsidRDefault="00236DCE" w:rsidP="00F03266">
      <w:pPr>
        <w:spacing w:beforeAutospacing="1" w:afterAutospacing="1" w:line="240" w:lineRule="auto"/>
        <w:rPr>
          <w:rFonts w:ascii="Times New Roman" w:eastAsia="Times New Roman" w:hAnsi="Times New Roman" w:cs="Times New Roman"/>
        </w:rPr>
      </w:pPr>
    </w:p>
    <w:p w14:paraId="7D6A05BB" w14:textId="77777777" w:rsidR="008B733A" w:rsidRPr="00BC0D8E" w:rsidRDefault="34354836" w:rsidP="008B733A">
      <w:pPr>
        <w:pStyle w:val="Heading2"/>
        <w:rPr>
          <w:rFonts w:cs="Times New Roman"/>
        </w:rPr>
      </w:pPr>
      <w:bookmarkStart w:id="7" w:name="_Toc147824643"/>
      <w:bookmarkStart w:id="8" w:name="_Toc212796731"/>
      <w:r w:rsidRPr="2535092B">
        <w:rPr>
          <w:rFonts w:cs="Times New Roman"/>
        </w:rPr>
        <w:t>Airbus SE (</w:t>
      </w:r>
      <w:proofErr w:type="gramStart"/>
      <w:r w:rsidRPr="2535092B">
        <w:rPr>
          <w:rFonts w:cs="Times New Roman"/>
        </w:rPr>
        <w:t>ENXTPA:AIR</w:t>
      </w:r>
      <w:proofErr w:type="gramEnd"/>
      <w:r w:rsidRPr="2535092B">
        <w:rPr>
          <w:rFonts w:cs="Times New Roman"/>
        </w:rPr>
        <w:t>)</w:t>
      </w:r>
      <w:bookmarkEnd w:id="7"/>
      <w:bookmarkEnd w:id="8"/>
      <w:r w:rsidRPr="2535092B">
        <w:rPr>
          <w:rFonts w:cs="Times New Roman"/>
        </w:rPr>
        <w:t xml:space="preserve"> </w:t>
      </w:r>
    </w:p>
    <w:p w14:paraId="676ADC9B" w14:textId="0660E77F" w:rsidR="008B733A" w:rsidRPr="00BC0D8E" w:rsidRDefault="02FFA956" w:rsidP="2535092B">
      <w:pPr>
        <w:pStyle w:val="Heading3"/>
        <w:rPr>
          <w:rFonts w:cs="Times New Roman"/>
          <w:color w:val="00B050"/>
        </w:rPr>
      </w:pPr>
      <w:bookmarkStart w:id="9" w:name="_Toc147824644"/>
      <w:bookmarkStart w:id="10" w:name="_Toc212796732"/>
      <w:r w:rsidRPr="2EEB26EF">
        <w:rPr>
          <w:rFonts w:cs="Times New Roman"/>
        </w:rPr>
        <w:t xml:space="preserve">Outlook: </w:t>
      </w:r>
      <w:bookmarkEnd w:id="9"/>
      <w:r w:rsidR="00B33BB5" w:rsidRPr="00AF2939">
        <w:rPr>
          <w:rFonts w:cs="Times New Roman"/>
          <w:color w:val="00B050"/>
        </w:rPr>
        <w:t>Positive</w:t>
      </w:r>
      <w:bookmarkEnd w:id="10"/>
    </w:p>
    <w:p w14:paraId="099E01F3" w14:textId="3DBC6ED3" w:rsidR="008B733A" w:rsidRPr="00BC0D8E" w:rsidRDefault="02FFA956" w:rsidP="3CA273EB">
      <w:pPr>
        <w:pStyle w:val="Heading3"/>
        <w:rPr>
          <w:rFonts w:cs="Times New Roman"/>
          <w:color w:val="00B050"/>
        </w:rPr>
      </w:pPr>
      <w:bookmarkStart w:id="11" w:name="_Toc147824645"/>
      <w:bookmarkStart w:id="12" w:name="_Toc212796733"/>
      <w:r w:rsidRPr="2EEB26EF">
        <w:rPr>
          <w:rFonts w:cs="Times New Roman"/>
        </w:rPr>
        <w:t xml:space="preserve">AL Outlook: </w:t>
      </w:r>
      <w:bookmarkEnd w:id="11"/>
      <w:r w:rsidR="00B33BB5" w:rsidRPr="00AF2939">
        <w:rPr>
          <w:rFonts w:cs="Times New Roman"/>
          <w:color w:val="00B050"/>
        </w:rPr>
        <w:t>Positive</w:t>
      </w:r>
      <w:bookmarkEnd w:id="12"/>
    </w:p>
    <w:p w14:paraId="0DBD8060" w14:textId="5597249F" w:rsidR="008B733A" w:rsidRPr="00BC0D8E" w:rsidRDefault="02FFA956" w:rsidP="008B733A">
      <w:pPr>
        <w:rPr>
          <w:rFonts w:ascii="Times New Roman" w:hAnsi="Times New Roman" w:cs="Times New Roman"/>
        </w:rPr>
      </w:pPr>
      <w:r w:rsidRPr="2EEB26EF">
        <w:rPr>
          <w:rFonts w:ascii="Times New Roman" w:hAnsi="Times New Roman" w:cs="Times New Roman"/>
          <w:b/>
          <w:bCs/>
        </w:rPr>
        <w:t>Recommended</w:t>
      </w:r>
      <w:r w:rsidRPr="2EEB26EF">
        <w:rPr>
          <w:rFonts w:ascii="Times New Roman" w:hAnsi="Times New Roman" w:cs="Times New Roman"/>
        </w:rPr>
        <w:t xml:space="preserve"> </w:t>
      </w:r>
      <w:r w:rsidRPr="2EEB26EF">
        <w:rPr>
          <w:rFonts w:ascii="Times New Roman" w:hAnsi="Times New Roman" w:cs="Times New Roman"/>
          <w:b/>
          <w:bCs/>
        </w:rPr>
        <w:t>Action:</w:t>
      </w:r>
      <w:r w:rsidR="37E5C60E" w:rsidRPr="2EEB26EF">
        <w:rPr>
          <w:rFonts w:ascii="Times New Roman" w:hAnsi="Times New Roman" w:cs="Times New Roman"/>
          <w:b/>
          <w:bCs/>
        </w:rPr>
        <w:t xml:space="preserve"> </w:t>
      </w:r>
      <w:r w:rsidR="1B30A191" w:rsidRPr="4A580278">
        <w:rPr>
          <w:rFonts w:ascii="Times New Roman" w:hAnsi="Times New Roman" w:cs="Times New Roman"/>
        </w:rPr>
        <w:t>Monitor</w:t>
      </w:r>
      <w:r w:rsidR="00A87F79" w:rsidRPr="00AF2939">
        <w:rPr>
          <w:rFonts w:ascii="Times New Roman" w:hAnsi="Times New Roman" w:cs="Times New Roman"/>
        </w:rPr>
        <w:t xml:space="preserve"> Airbus’s Mobile facility as it expands A220 production and ramps </w:t>
      </w:r>
      <w:r w:rsidR="1FC400FF" w:rsidRPr="24EFF9AA">
        <w:rPr>
          <w:rFonts w:ascii="Times New Roman" w:hAnsi="Times New Roman" w:cs="Times New Roman"/>
        </w:rPr>
        <w:t xml:space="preserve">up </w:t>
      </w:r>
      <w:r w:rsidR="00A87F79" w:rsidRPr="00AF2939">
        <w:rPr>
          <w:rFonts w:ascii="Times New Roman" w:hAnsi="Times New Roman" w:cs="Times New Roman"/>
        </w:rPr>
        <w:t>hiring.</w:t>
      </w:r>
    </w:p>
    <w:p w14:paraId="51D9721E" w14:textId="7FA51FB0" w:rsidR="74BCABAA" w:rsidRDefault="6DF7CE90" w:rsidP="74BCABAA">
      <w:pPr>
        <w:spacing w:beforeAutospacing="1" w:afterAutospacing="1" w:line="240" w:lineRule="auto"/>
        <w:rPr>
          <w:rFonts w:ascii="Times New Roman" w:eastAsia="Times New Roman" w:hAnsi="Times New Roman" w:cs="Times New Roman"/>
          <w:color w:val="000000" w:themeColor="text1"/>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Mobile (A320 and A220 production lines)</w:t>
      </w:r>
    </w:p>
    <w:p w14:paraId="70B3235F" w14:textId="77777777" w:rsidR="00A57D24" w:rsidRPr="00213B86" w:rsidRDefault="00A57D24" w:rsidP="00A57D24">
      <w:pPr>
        <w:pStyle w:val="NormalWeb"/>
        <w:rPr>
          <w:sz w:val="22"/>
          <w:szCs w:val="22"/>
        </w:rPr>
      </w:pPr>
      <w:r w:rsidRPr="00213B86">
        <w:rPr>
          <w:rStyle w:val="Strong"/>
          <w:rFonts w:eastAsiaTheme="majorEastAsia"/>
          <w:sz w:val="22"/>
          <w:szCs w:val="22"/>
        </w:rPr>
        <w:t>Key Takeaways</w:t>
      </w:r>
    </w:p>
    <w:p w14:paraId="2360E9C0" w14:textId="77777777" w:rsidR="00A57D24" w:rsidRPr="00213B86" w:rsidRDefault="00A57D24" w:rsidP="00127934">
      <w:pPr>
        <w:pStyle w:val="NormalWeb"/>
        <w:numPr>
          <w:ilvl w:val="0"/>
          <w:numId w:val="7"/>
        </w:numPr>
        <w:rPr>
          <w:sz w:val="22"/>
          <w:szCs w:val="22"/>
        </w:rPr>
      </w:pPr>
      <w:r w:rsidRPr="00213B86">
        <w:rPr>
          <w:sz w:val="22"/>
          <w:szCs w:val="22"/>
        </w:rPr>
        <w:lastRenderedPageBreak/>
        <w:t>Airbus reported strong first-</w:t>
      </w:r>
      <w:proofErr w:type="gramStart"/>
      <w:r w:rsidRPr="00213B86">
        <w:rPr>
          <w:sz w:val="22"/>
          <w:szCs w:val="22"/>
        </w:rPr>
        <w:t>half</w:t>
      </w:r>
      <w:proofErr w:type="gramEnd"/>
      <w:r w:rsidRPr="00213B86">
        <w:rPr>
          <w:sz w:val="22"/>
          <w:szCs w:val="22"/>
        </w:rPr>
        <w:t xml:space="preserve"> 2025 results, with commercial momentum holding firm and backlog expanding to 8,754 aircraft, including over 7,100 A320-family units.</w:t>
      </w:r>
    </w:p>
    <w:p w14:paraId="57F43680" w14:textId="77777777" w:rsidR="00A57D24" w:rsidRPr="00213B86" w:rsidRDefault="00A57D24" w:rsidP="00127934">
      <w:pPr>
        <w:pStyle w:val="NormalWeb"/>
        <w:numPr>
          <w:ilvl w:val="0"/>
          <w:numId w:val="7"/>
        </w:numPr>
        <w:rPr>
          <w:sz w:val="22"/>
          <w:szCs w:val="22"/>
        </w:rPr>
      </w:pPr>
      <w:r w:rsidRPr="00213B86">
        <w:rPr>
          <w:sz w:val="22"/>
          <w:szCs w:val="22"/>
        </w:rPr>
        <w:t xml:space="preserve">Deliveries were affected by continued </w:t>
      </w:r>
      <w:r w:rsidRPr="00213B86">
        <w:rPr>
          <w:rStyle w:val="Strong"/>
          <w:rFonts w:eastAsiaTheme="majorEastAsia"/>
          <w:sz w:val="22"/>
          <w:szCs w:val="22"/>
        </w:rPr>
        <w:t>engine shortages</w:t>
      </w:r>
      <w:r w:rsidRPr="00213B86">
        <w:rPr>
          <w:sz w:val="22"/>
          <w:szCs w:val="22"/>
        </w:rPr>
        <w:t>, resulting in 60 “gliders” (completed aircraft awaiting engines), primarily impacting the A320 family.</w:t>
      </w:r>
    </w:p>
    <w:p w14:paraId="4EDBBED7" w14:textId="77777777" w:rsidR="00A57D24" w:rsidRPr="00213B86" w:rsidRDefault="00A57D24" w:rsidP="00127934">
      <w:pPr>
        <w:pStyle w:val="NormalWeb"/>
        <w:numPr>
          <w:ilvl w:val="0"/>
          <w:numId w:val="7"/>
        </w:numPr>
        <w:rPr>
          <w:sz w:val="22"/>
          <w:szCs w:val="22"/>
        </w:rPr>
      </w:pPr>
      <w:r w:rsidRPr="00213B86">
        <w:rPr>
          <w:sz w:val="22"/>
          <w:szCs w:val="22"/>
        </w:rPr>
        <w:t>Demand remains strong across narrowbody and widebody platforms, supported by global fleet renewals and increased military spending across Europe and export markets.</w:t>
      </w:r>
    </w:p>
    <w:p w14:paraId="5F351EFC" w14:textId="77777777" w:rsidR="00A57D24" w:rsidRPr="00213B86" w:rsidRDefault="00A57D24" w:rsidP="00127934">
      <w:pPr>
        <w:pStyle w:val="NormalWeb"/>
        <w:numPr>
          <w:ilvl w:val="0"/>
          <w:numId w:val="7"/>
        </w:numPr>
        <w:rPr>
          <w:sz w:val="22"/>
          <w:szCs w:val="22"/>
        </w:rPr>
      </w:pPr>
      <w:r w:rsidRPr="00213B86">
        <w:rPr>
          <w:sz w:val="22"/>
          <w:szCs w:val="22"/>
        </w:rPr>
        <w:t>Airbus reaffirmed its 2025 guidance for deliveries (820 aircraft), earnings (€7B EBIT Adjusted), and free cash flow (€4.5B), signaling confidence in H2 recovery.</w:t>
      </w:r>
    </w:p>
    <w:p w14:paraId="13F2A46F" w14:textId="77777777" w:rsidR="00A57D24" w:rsidRPr="00213B86" w:rsidRDefault="00A57D24" w:rsidP="00127934">
      <w:pPr>
        <w:pStyle w:val="NormalWeb"/>
        <w:numPr>
          <w:ilvl w:val="0"/>
          <w:numId w:val="7"/>
        </w:numPr>
        <w:rPr>
          <w:sz w:val="22"/>
          <w:szCs w:val="22"/>
        </w:rPr>
      </w:pPr>
      <w:r w:rsidRPr="00213B86">
        <w:rPr>
          <w:sz w:val="22"/>
          <w:szCs w:val="22"/>
        </w:rPr>
        <w:t xml:space="preserve">The </w:t>
      </w:r>
      <w:r w:rsidRPr="00213B86">
        <w:rPr>
          <w:rStyle w:val="Strong"/>
          <w:rFonts w:eastAsiaTheme="majorEastAsia"/>
          <w:sz w:val="22"/>
          <w:szCs w:val="22"/>
        </w:rPr>
        <w:t>Mobile, Alabama</w:t>
      </w:r>
      <w:r w:rsidRPr="00213B86">
        <w:rPr>
          <w:sz w:val="22"/>
          <w:szCs w:val="22"/>
        </w:rPr>
        <w:t xml:space="preserve"> final assembly line remains critical to the A220 production ramp-up, especially as Airbus aims to reach 14 aircraft/month by 2026.</w:t>
      </w:r>
    </w:p>
    <w:p w14:paraId="5E9AE59A" w14:textId="77777777" w:rsidR="00A57D24" w:rsidRPr="00213B86" w:rsidRDefault="00A57D24" w:rsidP="00127934">
      <w:pPr>
        <w:pStyle w:val="NormalWeb"/>
        <w:numPr>
          <w:ilvl w:val="0"/>
          <w:numId w:val="7"/>
        </w:numPr>
        <w:rPr>
          <w:sz w:val="22"/>
          <w:szCs w:val="22"/>
        </w:rPr>
      </w:pPr>
      <w:r w:rsidRPr="00213B86">
        <w:rPr>
          <w:sz w:val="22"/>
          <w:szCs w:val="22"/>
        </w:rPr>
        <w:t>The Defense &amp; Space segment delivered a margin recovery, while Helicopters saw continued steady growth and new orders across both civilian and military markets.</w:t>
      </w:r>
    </w:p>
    <w:p w14:paraId="77673662" w14:textId="77777777" w:rsidR="00A57D24" w:rsidRPr="00213B86" w:rsidRDefault="00A57D24" w:rsidP="00A57D24">
      <w:pPr>
        <w:pStyle w:val="NormalWeb"/>
        <w:rPr>
          <w:sz w:val="22"/>
          <w:szCs w:val="22"/>
        </w:rPr>
      </w:pPr>
      <w:r w:rsidRPr="00213B86">
        <w:rPr>
          <w:rStyle w:val="Strong"/>
          <w:rFonts w:eastAsiaTheme="majorEastAsia"/>
          <w:sz w:val="22"/>
          <w:szCs w:val="22"/>
        </w:rPr>
        <w:t>Financial Highlights</w:t>
      </w:r>
    </w:p>
    <w:p w14:paraId="4D9E4DF4" w14:textId="77777777" w:rsidR="00A57D24" w:rsidRPr="00213B86" w:rsidRDefault="00A57D24" w:rsidP="00127934">
      <w:pPr>
        <w:pStyle w:val="NormalWeb"/>
        <w:numPr>
          <w:ilvl w:val="0"/>
          <w:numId w:val="8"/>
        </w:numPr>
        <w:rPr>
          <w:sz w:val="22"/>
          <w:szCs w:val="22"/>
        </w:rPr>
      </w:pPr>
      <w:r w:rsidRPr="00213B86">
        <w:rPr>
          <w:sz w:val="22"/>
          <w:szCs w:val="22"/>
        </w:rPr>
        <w:t xml:space="preserve">H1 2025 revenue reached </w:t>
      </w:r>
      <w:r w:rsidRPr="00213B86">
        <w:rPr>
          <w:rStyle w:val="Strong"/>
          <w:rFonts w:eastAsiaTheme="majorEastAsia"/>
          <w:sz w:val="22"/>
          <w:szCs w:val="22"/>
        </w:rPr>
        <w:t>€29.6 billion</w:t>
      </w:r>
      <w:r w:rsidRPr="00213B86">
        <w:rPr>
          <w:sz w:val="22"/>
          <w:szCs w:val="22"/>
        </w:rPr>
        <w:t xml:space="preserve">, a </w:t>
      </w:r>
      <w:r w:rsidRPr="00213B86">
        <w:rPr>
          <w:rStyle w:val="Strong"/>
          <w:rFonts w:eastAsiaTheme="majorEastAsia"/>
          <w:sz w:val="22"/>
          <w:szCs w:val="22"/>
        </w:rPr>
        <w:t>+3% increase YoY</w:t>
      </w:r>
      <w:r w:rsidRPr="00213B86">
        <w:rPr>
          <w:sz w:val="22"/>
          <w:szCs w:val="22"/>
        </w:rPr>
        <w:t>, driven by growth in services, defense, and helicopters, though partially offset by fewer aircraft deliveries.</w:t>
      </w:r>
    </w:p>
    <w:p w14:paraId="4D216953" w14:textId="77777777" w:rsidR="00A57D24" w:rsidRPr="00213B86" w:rsidRDefault="00A57D24" w:rsidP="00127934">
      <w:pPr>
        <w:pStyle w:val="NormalWeb"/>
        <w:numPr>
          <w:ilvl w:val="0"/>
          <w:numId w:val="8"/>
        </w:numPr>
        <w:rPr>
          <w:sz w:val="22"/>
          <w:szCs w:val="22"/>
        </w:rPr>
      </w:pPr>
      <w:r w:rsidRPr="00213B86">
        <w:rPr>
          <w:sz w:val="22"/>
          <w:szCs w:val="22"/>
        </w:rPr>
        <w:t xml:space="preserve">EBIT Adjusted totaled </w:t>
      </w:r>
      <w:r w:rsidRPr="00213B86">
        <w:rPr>
          <w:rStyle w:val="Strong"/>
          <w:rFonts w:eastAsiaTheme="majorEastAsia"/>
          <w:sz w:val="22"/>
          <w:szCs w:val="22"/>
        </w:rPr>
        <w:t>€2.2 billion</w:t>
      </w:r>
      <w:r w:rsidRPr="00213B86">
        <w:rPr>
          <w:sz w:val="22"/>
          <w:szCs w:val="22"/>
        </w:rPr>
        <w:t>, up from €1.4 billion in H1 2024, which had been impacted by a €989 million charge in the Space segment.</w:t>
      </w:r>
    </w:p>
    <w:p w14:paraId="15D26D45" w14:textId="77777777" w:rsidR="00A57D24" w:rsidRPr="00213B86" w:rsidRDefault="00A57D24" w:rsidP="00127934">
      <w:pPr>
        <w:pStyle w:val="NormalWeb"/>
        <w:numPr>
          <w:ilvl w:val="0"/>
          <w:numId w:val="8"/>
        </w:numPr>
        <w:rPr>
          <w:sz w:val="22"/>
          <w:szCs w:val="22"/>
        </w:rPr>
      </w:pPr>
      <w:r w:rsidRPr="00213B86">
        <w:rPr>
          <w:sz w:val="22"/>
          <w:szCs w:val="22"/>
        </w:rPr>
        <w:t xml:space="preserve">Free cash flow before customer financing was </w:t>
      </w:r>
      <w:r w:rsidRPr="00213B86">
        <w:rPr>
          <w:rStyle w:val="Strong"/>
          <w:rFonts w:eastAsiaTheme="majorEastAsia"/>
          <w:sz w:val="22"/>
          <w:szCs w:val="22"/>
        </w:rPr>
        <w:t>-€1.6 billion</w:t>
      </w:r>
      <w:r w:rsidRPr="00213B86">
        <w:rPr>
          <w:sz w:val="22"/>
          <w:szCs w:val="22"/>
        </w:rPr>
        <w:t>, driven by inventory buildup and deferred deliveries caused by engine supply constraints.</w:t>
      </w:r>
    </w:p>
    <w:p w14:paraId="44B6BAEB" w14:textId="77777777" w:rsidR="00A57D24" w:rsidRPr="00213B86" w:rsidRDefault="00A57D24" w:rsidP="00127934">
      <w:pPr>
        <w:pStyle w:val="NormalWeb"/>
        <w:numPr>
          <w:ilvl w:val="0"/>
          <w:numId w:val="8"/>
        </w:numPr>
        <w:rPr>
          <w:sz w:val="22"/>
          <w:szCs w:val="22"/>
        </w:rPr>
      </w:pPr>
      <w:r w:rsidRPr="00213B86">
        <w:rPr>
          <w:sz w:val="22"/>
          <w:szCs w:val="22"/>
        </w:rPr>
        <w:t xml:space="preserve">R&amp;D spending stood at </w:t>
      </w:r>
      <w:r w:rsidRPr="00213B86">
        <w:rPr>
          <w:rStyle w:val="Strong"/>
          <w:rFonts w:eastAsiaTheme="majorEastAsia"/>
          <w:sz w:val="22"/>
          <w:szCs w:val="22"/>
        </w:rPr>
        <w:t>€1.4 billion</w:t>
      </w:r>
      <w:r w:rsidRPr="00213B86">
        <w:rPr>
          <w:sz w:val="22"/>
          <w:szCs w:val="22"/>
        </w:rPr>
        <w:t xml:space="preserve">, slightly lower YoY; full-year R&amp;D is expected to increase marginally with a </w:t>
      </w:r>
      <w:proofErr w:type="gramStart"/>
      <w:r w:rsidRPr="00213B86">
        <w:rPr>
          <w:sz w:val="22"/>
          <w:szCs w:val="22"/>
        </w:rPr>
        <w:t>back-loaded</w:t>
      </w:r>
      <w:proofErr w:type="gramEnd"/>
      <w:r w:rsidRPr="00213B86">
        <w:rPr>
          <w:sz w:val="22"/>
          <w:szCs w:val="22"/>
        </w:rPr>
        <w:t xml:space="preserve"> profile.</w:t>
      </w:r>
    </w:p>
    <w:p w14:paraId="312DB4D2" w14:textId="77777777" w:rsidR="00A57D24" w:rsidRPr="00213B86" w:rsidRDefault="00A57D24" w:rsidP="00127934">
      <w:pPr>
        <w:pStyle w:val="NormalWeb"/>
        <w:numPr>
          <w:ilvl w:val="0"/>
          <w:numId w:val="8"/>
        </w:numPr>
        <w:rPr>
          <w:sz w:val="22"/>
          <w:szCs w:val="22"/>
        </w:rPr>
      </w:pPr>
      <w:r w:rsidRPr="00213B86">
        <w:rPr>
          <w:sz w:val="22"/>
          <w:szCs w:val="22"/>
        </w:rPr>
        <w:t xml:space="preserve">Net income: </w:t>
      </w:r>
      <w:r w:rsidRPr="00213B86">
        <w:rPr>
          <w:rStyle w:val="Strong"/>
          <w:rFonts w:eastAsiaTheme="majorEastAsia"/>
          <w:sz w:val="22"/>
          <w:szCs w:val="22"/>
        </w:rPr>
        <w:t>€1.5 billion</w:t>
      </w:r>
      <w:r w:rsidRPr="00213B86">
        <w:rPr>
          <w:sz w:val="22"/>
          <w:szCs w:val="22"/>
        </w:rPr>
        <w:t xml:space="preserve">, with adjusted earnings per share (EPS) at </w:t>
      </w:r>
      <w:r w:rsidRPr="00213B86">
        <w:rPr>
          <w:rStyle w:val="Strong"/>
          <w:rFonts w:eastAsiaTheme="majorEastAsia"/>
          <w:sz w:val="22"/>
          <w:szCs w:val="22"/>
        </w:rPr>
        <w:t>€2.15</w:t>
      </w:r>
      <w:r w:rsidRPr="00213B86">
        <w:rPr>
          <w:sz w:val="22"/>
          <w:szCs w:val="22"/>
        </w:rPr>
        <w:t xml:space="preserve"> based on 789 million shares.</w:t>
      </w:r>
    </w:p>
    <w:p w14:paraId="417EA1E6" w14:textId="77777777" w:rsidR="00A57D24" w:rsidRPr="00213B86" w:rsidRDefault="00A57D24" w:rsidP="00127934">
      <w:pPr>
        <w:pStyle w:val="NormalWeb"/>
        <w:numPr>
          <w:ilvl w:val="0"/>
          <w:numId w:val="8"/>
        </w:numPr>
        <w:rPr>
          <w:sz w:val="22"/>
          <w:szCs w:val="22"/>
        </w:rPr>
      </w:pPr>
      <w:r w:rsidRPr="00213B86">
        <w:rPr>
          <w:sz w:val="22"/>
          <w:szCs w:val="22"/>
        </w:rPr>
        <w:t>2025 guidance reaffirmed:</w:t>
      </w:r>
    </w:p>
    <w:p w14:paraId="3215C494" w14:textId="77777777" w:rsidR="00A57D24" w:rsidRPr="00213B86" w:rsidRDefault="00A57D24" w:rsidP="00127934">
      <w:pPr>
        <w:pStyle w:val="NormalWeb"/>
        <w:numPr>
          <w:ilvl w:val="1"/>
          <w:numId w:val="8"/>
        </w:numPr>
        <w:rPr>
          <w:sz w:val="22"/>
          <w:szCs w:val="22"/>
        </w:rPr>
      </w:pPr>
      <w:r w:rsidRPr="00213B86">
        <w:rPr>
          <w:sz w:val="22"/>
          <w:szCs w:val="22"/>
        </w:rPr>
        <w:t xml:space="preserve">Around </w:t>
      </w:r>
      <w:r w:rsidRPr="00213B86">
        <w:rPr>
          <w:rStyle w:val="Strong"/>
          <w:rFonts w:eastAsiaTheme="majorEastAsia"/>
          <w:sz w:val="22"/>
          <w:szCs w:val="22"/>
        </w:rPr>
        <w:t>820 commercial aircraft deliveries</w:t>
      </w:r>
    </w:p>
    <w:p w14:paraId="08233B4F" w14:textId="77777777" w:rsidR="00A57D24" w:rsidRPr="00213B86" w:rsidRDefault="00A57D24" w:rsidP="00127934">
      <w:pPr>
        <w:pStyle w:val="NormalWeb"/>
        <w:numPr>
          <w:ilvl w:val="1"/>
          <w:numId w:val="8"/>
        </w:numPr>
        <w:rPr>
          <w:sz w:val="22"/>
          <w:szCs w:val="22"/>
        </w:rPr>
      </w:pPr>
      <w:r w:rsidRPr="00213B86">
        <w:rPr>
          <w:rStyle w:val="Strong"/>
          <w:rFonts w:eastAsiaTheme="majorEastAsia"/>
          <w:sz w:val="22"/>
          <w:szCs w:val="22"/>
        </w:rPr>
        <w:t>€7 billion EBIT Adjusted</w:t>
      </w:r>
    </w:p>
    <w:p w14:paraId="4AA6FB7F" w14:textId="77777777" w:rsidR="00A57D24" w:rsidRPr="00213B86" w:rsidRDefault="00A57D24" w:rsidP="00127934">
      <w:pPr>
        <w:pStyle w:val="NormalWeb"/>
        <w:numPr>
          <w:ilvl w:val="1"/>
          <w:numId w:val="8"/>
        </w:numPr>
        <w:rPr>
          <w:sz w:val="22"/>
          <w:szCs w:val="22"/>
        </w:rPr>
      </w:pPr>
      <w:r w:rsidRPr="00213B86">
        <w:rPr>
          <w:rStyle w:val="Strong"/>
          <w:rFonts w:eastAsiaTheme="majorEastAsia"/>
          <w:sz w:val="22"/>
          <w:szCs w:val="22"/>
        </w:rPr>
        <w:t>€4.5 billion free cash flow</w:t>
      </w:r>
      <w:r w:rsidRPr="00213B86">
        <w:rPr>
          <w:sz w:val="22"/>
          <w:szCs w:val="22"/>
        </w:rPr>
        <w:t xml:space="preserve"> before customer financing</w:t>
      </w:r>
    </w:p>
    <w:p w14:paraId="030B2104" w14:textId="77777777" w:rsidR="00A57D24" w:rsidRPr="00213B86" w:rsidRDefault="00A57D24" w:rsidP="00A57D24">
      <w:pPr>
        <w:pStyle w:val="NormalWeb"/>
        <w:rPr>
          <w:sz w:val="22"/>
          <w:szCs w:val="22"/>
        </w:rPr>
      </w:pPr>
      <w:r w:rsidRPr="00213B86">
        <w:rPr>
          <w:rStyle w:val="Strong"/>
          <w:rFonts w:eastAsiaTheme="majorEastAsia"/>
          <w:sz w:val="22"/>
          <w:szCs w:val="22"/>
        </w:rPr>
        <w:t>Operational Highlights</w:t>
      </w:r>
    </w:p>
    <w:p w14:paraId="5CFE3CD1" w14:textId="77777777" w:rsidR="00A57D24" w:rsidRPr="00213B86" w:rsidRDefault="00A57D24" w:rsidP="00127934">
      <w:pPr>
        <w:pStyle w:val="NormalWeb"/>
        <w:numPr>
          <w:ilvl w:val="0"/>
          <w:numId w:val="9"/>
        </w:numPr>
        <w:rPr>
          <w:sz w:val="22"/>
          <w:szCs w:val="22"/>
        </w:rPr>
      </w:pPr>
      <w:r w:rsidRPr="00213B86">
        <w:rPr>
          <w:sz w:val="22"/>
          <w:szCs w:val="22"/>
        </w:rPr>
        <w:t xml:space="preserve">Airbus delivered </w:t>
      </w:r>
      <w:r w:rsidRPr="00213B86">
        <w:rPr>
          <w:rStyle w:val="Strong"/>
          <w:rFonts w:eastAsiaTheme="majorEastAsia"/>
          <w:sz w:val="22"/>
          <w:szCs w:val="22"/>
        </w:rPr>
        <w:t>306 commercial aircraft</w:t>
      </w:r>
      <w:r w:rsidRPr="00213B86">
        <w:rPr>
          <w:sz w:val="22"/>
          <w:szCs w:val="22"/>
        </w:rPr>
        <w:t xml:space="preserve"> in H1 2025 (compared to 316 in H1 2024), with 60 gliders resulting from delayed engine deliveries.</w:t>
      </w:r>
    </w:p>
    <w:p w14:paraId="206FF7C5" w14:textId="77777777" w:rsidR="00A57D24" w:rsidRPr="00213B86" w:rsidRDefault="00A57D24" w:rsidP="00127934">
      <w:pPr>
        <w:pStyle w:val="NormalWeb"/>
        <w:numPr>
          <w:ilvl w:val="0"/>
          <w:numId w:val="9"/>
        </w:numPr>
        <w:rPr>
          <w:sz w:val="22"/>
          <w:szCs w:val="22"/>
        </w:rPr>
      </w:pPr>
      <w:r w:rsidRPr="00213B86">
        <w:rPr>
          <w:rStyle w:val="Strong"/>
          <w:rFonts w:eastAsiaTheme="majorEastAsia"/>
          <w:sz w:val="22"/>
          <w:szCs w:val="22"/>
        </w:rPr>
        <w:t>A320 family</w:t>
      </w:r>
      <w:r w:rsidRPr="00213B86">
        <w:rPr>
          <w:sz w:val="22"/>
          <w:szCs w:val="22"/>
        </w:rPr>
        <w:t>: 232 aircraft delivered, including 143 A321s (62% of total); production remains constrained by CFM and Pratt &amp; Whitney engine delays.</w:t>
      </w:r>
    </w:p>
    <w:p w14:paraId="028102E2" w14:textId="77777777" w:rsidR="00A57D24" w:rsidRPr="00213B86" w:rsidRDefault="00A57D24" w:rsidP="00127934">
      <w:pPr>
        <w:pStyle w:val="NormalWeb"/>
        <w:numPr>
          <w:ilvl w:val="0"/>
          <w:numId w:val="9"/>
        </w:numPr>
        <w:rPr>
          <w:sz w:val="22"/>
          <w:szCs w:val="22"/>
        </w:rPr>
      </w:pPr>
      <w:r w:rsidRPr="00213B86">
        <w:rPr>
          <w:rStyle w:val="Strong"/>
          <w:rFonts w:eastAsiaTheme="majorEastAsia"/>
          <w:sz w:val="22"/>
          <w:szCs w:val="22"/>
        </w:rPr>
        <w:t>A220</w:t>
      </w:r>
      <w:r w:rsidRPr="00213B86">
        <w:rPr>
          <w:sz w:val="22"/>
          <w:szCs w:val="22"/>
        </w:rPr>
        <w:t xml:space="preserve">: 41 aircraft delivered; ramp-up ongoing with critical production handled at the </w:t>
      </w:r>
      <w:r w:rsidRPr="00213B86">
        <w:rPr>
          <w:rStyle w:val="Strong"/>
          <w:rFonts w:eastAsiaTheme="majorEastAsia"/>
          <w:sz w:val="22"/>
          <w:szCs w:val="22"/>
        </w:rPr>
        <w:t>Mobile, Alabama</w:t>
      </w:r>
      <w:r w:rsidRPr="00213B86">
        <w:rPr>
          <w:sz w:val="22"/>
          <w:szCs w:val="22"/>
        </w:rPr>
        <w:t xml:space="preserve"> facility. Airbus remains on track to reach 14/month production by 2026.</w:t>
      </w:r>
    </w:p>
    <w:p w14:paraId="2A584210" w14:textId="77777777" w:rsidR="00A57D24" w:rsidRPr="00213B86" w:rsidRDefault="00A57D24" w:rsidP="00127934">
      <w:pPr>
        <w:pStyle w:val="NormalWeb"/>
        <w:numPr>
          <w:ilvl w:val="0"/>
          <w:numId w:val="9"/>
        </w:numPr>
        <w:rPr>
          <w:sz w:val="22"/>
          <w:szCs w:val="22"/>
        </w:rPr>
      </w:pPr>
      <w:r w:rsidRPr="00213B86">
        <w:rPr>
          <w:rStyle w:val="Strong"/>
          <w:rFonts w:eastAsiaTheme="majorEastAsia"/>
          <w:sz w:val="22"/>
          <w:szCs w:val="22"/>
        </w:rPr>
        <w:t>Widebody</w:t>
      </w:r>
      <w:r w:rsidRPr="00213B86">
        <w:rPr>
          <w:sz w:val="22"/>
          <w:szCs w:val="22"/>
        </w:rPr>
        <w:t xml:space="preserve"> deliveries: 12 A330 and 21 A350; Airbus plans to increase A330 rate to 5/month by 2029 and A350 to 12/month by 2028.</w:t>
      </w:r>
    </w:p>
    <w:p w14:paraId="16EB2EDE" w14:textId="77777777" w:rsidR="00A57D24" w:rsidRPr="00213B86" w:rsidRDefault="00A57D24" w:rsidP="00127934">
      <w:pPr>
        <w:pStyle w:val="NormalWeb"/>
        <w:numPr>
          <w:ilvl w:val="0"/>
          <w:numId w:val="9"/>
        </w:numPr>
        <w:rPr>
          <w:sz w:val="22"/>
          <w:szCs w:val="22"/>
        </w:rPr>
      </w:pPr>
      <w:r w:rsidRPr="00213B86">
        <w:rPr>
          <w:sz w:val="22"/>
          <w:szCs w:val="22"/>
        </w:rPr>
        <w:t xml:space="preserve">Airbus delivered the </w:t>
      </w:r>
      <w:r w:rsidRPr="00213B86">
        <w:rPr>
          <w:rStyle w:val="Strong"/>
          <w:rFonts w:eastAsiaTheme="majorEastAsia"/>
          <w:sz w:val="22"/>
          <w:szCs w:val="22"/>
        </w:rPr>
        <w:t>first A321XLR aircraft</w:t>
      </w:r>
      <w:r w:rsidRPr="00213B86">
        <w:rPr>
          <w:sz w:val="22"/>
          <w:szCs w:val="22"/>
        </w:rPr>
        <w:t xml:space="preserve"> in June to Qantas (Asia-Pacific launch customer); A321XLR production is integrated into both Hamburg and Toulouse lines.</w:t>
      </w:r>
    </w:p>
    <w:p w14:paraId="5771B6F7" w14:textId="77777777" w:rsidR="00A57D24" w:rsidRPr="00213B86" w:rsidRDefault="00A57D24" w:rsidP="00127934">
      <w:pPr>
        <w:pStyle w:val="NormalWeb"/>
        <w:numPr>
          <w:ilvl w:val="0"/>
          <w:numId w:val="9"/>
        </w:numPr>
        <w:rPr>
          <w:sz w:val="22"/>
          <w:szCs w:val="22"/>
        </w:rPr>
      </w:pPr>
      <w:r w:rsidRPr="00213B86">
        <w:rPr>
          <w:sz w:val="22"/>
          <w:szCs w:val="22"/>
        </w:rPr>
        <w:t>KPIs used to track industrial readiness and production health; engine constraints are expected to normalize in the second half of 2025.</w:t>
      </w:r>
    </w:p>
    <w:p w14:paraId="40850409" w14:textId="77777777" w:rsidR="00A57D24" w:rsidRPr="00213B86" w:rsidRDefault="00A57D24" w:rsidP="00A57D24">
      <w:pPr>
        <w:pStyle w:val="NormalWeb"/>
        <w:rPr>
          <w:sz w:val="22"/>
          <w:szCs w:val="22"/>
        </w:rPr>
      </w:pPr>
      <w:r w:rsidRPr="00213B86">
        <w:rPr>
          <w:rStyle w:val="Strong"/>
          <w:rFonts w:eastAsiaTheme="majorEastAsia"/>
          <w:sz w:val="22"/>
          <w:szCs w:val="22"/>
        </w:rPr>
        <w:t>Business Expansions &amp; Capital Expenditure Plans</w:t>
      </w:r>
    </w:p>
    <w:p w14:paraId="49F8B319" w14:textId="77777777" w:rsidR="00A57D24" w:rsidRPr="00213B86" w:rsidRDefault="00A57D24" w:rsidP="00127934">
      <w:pPr>
        <w:pStyle w:val="NormalWeb"/>
        <w:numPr>
          <w:ilvl w:val="0"/>
          <w:numId w:val="10"/>
        </w:numPr>
        <w:rPr>
          <w:sz w:val="22"/>
          <w:szCs w:val="22"/>
        </w:rPr>
      </w:pPr>
      <w:r w:rsidRPr="00213B86">
        <w:rPr>
          <w:sz w:val="22"/>
          <w:szCs w:val="22"/>
        </w:rPr>
        <w:t xml:space="preserve">Airbus increased </w:t>
      </w:r>
      <w:proofErr w:type="spellStart"/>
      <w:r w:rsidRPr="00213B86">
        <w:rPr>
          <w:sz w:val="22"/>
          <w:szCs w:val="22"/>
        </w:rPr>
        <w:t>CapEx</w:t>
      </w:r>
      <w:proofErr w:type="spellEnd"/>
      <w:r w:rsidRPr="00213B86">
        <w:rPr>
          <w:sz w:val="22"/>
          <w:szCs w:val="22"/>
        </w:rPr>
        <w:t xml:space="preserve"> in H1 to support </w:t>
      </w:r>
      <w:r w:rsidRPr="00213B86">
        <w:rPr>
          <w:rStyle w:val="Strong"/>
          <w:rFonts w:eastAsiaTheme="majorEastAsia"/>
          <w:sz w:val="22"/>
          <w:szCs w:val="22"/>
        </w:rPr>
        <w:t>global production ramp-ups</w:t>
      </w:r>
      <w:r w:rsidRPr="00213B86">
        <w:rPr>
          <w:sz w:val="22"/>
          <w:szCs w:val="22"/>
        </w:rPr>
        <w:t>, primarily in narrowbody lines (A320, A220) and widebody aircraft (A330, A350).</w:t>
      </w:r>
    </w:p>
    <w:p w14:paraId="64FB9A26" w14:textId="77777777" w:rsidR="00A57D24" w:rsidRPr="00213B86" w:rsidRDefault="00A57D24" w:rsidP="00127934">
      <w:pPr>
        <w:pStyle w:val="NormalWeb"/>
        <w:numPr>
          <w:ilvl w:val="0"/>
          <w:numId w:val="10"/>
        </w:numPr>
        <w:rPr>
          <w:sz w:val="22"/>
          <w:szCs w:val="22"/>
        </w:rPr>
      </w:pPr>
      <w:r w:rsidRPr="00213B86">
        <w:rPr>
          <w:sz w:val="22"/>
          <w:szCs w:val="22"/>
        </w:rPr>
        <w:lastRenderedPageBreak/>
        <w:t xml:space="preserve">A220 program expansion is tightly linked to </w:t>
      </w:r>
      <w:r w:rsidRPr="00213B86">
        <w:rPr>
          <w:rStyle w:val="Strong"/>
          <w:rFonts w:eastAsiaTheme="majorEastAsia"/>
          <w:sz w:val="22"/>
          <w:szCs w:val="22"/>
        </w:rPr>
        <w:t>Mobile, Alabama</w:t>
      </w:r>
      <w:r w:rsidRPr="00213B86">
        <w:rPr>
          <w:sz w:val="22"/>
          <w:szCs w:val="22"/>
        </w:rPr>
        <w:t>, which serves as a strategic U.S. final assembly line for the North American market.</w:t>
      </w:r>
    </w:p>
    <w:p w14:paraId="23559C5E" w14:textId="77777777" w:rsidR="00A57D24" w:rsidRPr="00213B86" w:rsidRDefault="00A57D24" w:rsidP="00127934">
      <w:pPr>
        <w:pStyle w:val="NormalWeb"/>
        <w:numPr>
          <w:ilvl w:val="0"/>
          <w:numId w:val="10"/>
        </w:numPr>
        <w:rPr>
          <w:sz w:val="22"/>
          <w:szCs w:val="22"/>
        </w:rPr>
      </w:pPr>
      <w:r w:rsidRPr="00213B86">
        <w:rPr>
          <w:sz w:val="22"/>
          <w:szCs w:val="22"/>
        </w:rPr>
        <w:t xml:space="preserve">In </w:t>
      </w:r>
      <w:r w:rsidRPr="00213B86">
        <w:rPr>
          <w:rStyle w:val="Strong"/>
          <w:rFonts w:eastAsiaTheme="majorEastAsia"/>
          <w:sz w:val="22"/>
          <w:szCs w:val="22"/>
        </w:rPr>
        <w:t>Defense &amp; Space</w:t>
      </w:r>
      <w:r w:rsidRPr="00213B86">
        <w:rPr>
          <w:sz w:val="22"/>
          <w:szCs w:val="22"/>
        </w:rPr>
        <w:t xml:space="preserve">, Airbus launched a turnaround initiative focused on organizational restructuring, cost discipline, and potential </w:t>
      </w:r>
      <w:r w:rsidRPr="00213B86">
        <w:rPr>
          <w:rStyle w:val="Strong"/>
          <w:rFonts w:eastAsiaTheme="majorEastAsia"/>
          <w:sz w:val="22"/>
          <w:szCs w:val="22"/>
        </w:rPr>
        <w:t>satellite business consolidation</w:t>
      </w:r>
      <w:r w:rsidRPr="00213B86">
        <w:rPr>
          <w:sz w:val="22"/>
          <w:szCs w:val="22"/>
        </w:rPr>
        <w:t xml:space="preserve"> (joint talks with Thales and Leonardo).</w:t>
      </w:r>
    </w:p>
    <w:p w14:paraId="265C7F97" w14:textId="77777777" w:rsidR="00A57D24" w:rsidRPr="00213B86" w:rsidRDefault="00A57D24" w:rsidP="00127934">
      <w:pPr>
        <w:pStyle w:val="NormalWeb"/>
        <w:numPr>
          <w:ilvl w:val="0"/>
          <w:numId w:val="10"/>
        </w:numPr>
        <w:rPr>
          <w:sz w:val="22"/>
          <w:szCs w:val="22"/>
        </w:rPr>
      </w:pPr>
      <w:r w:rsidRPr="00213B86">
        <w:rPr>
          <w:sz w:val="22"/>
          <w:szCs w:val="22"/>
        </w:rPr>
        <w:t>Airbus secured multiple high-profile defense contracts:</w:t>
      </w:r>
    </w:p>
    <w:p w14:paraId="45979B99" w14:textId="77777777" w:rsidR="00A57D24" w:rsidRPr="00213B86" w:rsidRDefault="00A57D24" w:rsidP="00127934">
      <w:pPr>
        <w:pStyle w:val="NormalWeb"/>
        <w:numPr>
          <w:ilvl w:val="1"/>
          <w:numId w:val="10"/>
        </w:numPr>
        <w:rPr>
          <w:sz w:val="22"/>
          <w:szCs w:val="22"/>
        </w:rPr>
      </w:pPr>
      <w:r w:rsidRPr="00213B86">
        <w:rPr>
          <w:sz w:val="22"/>
          <w:szCs w:val="22"/>
        </w:rPr>
        <w:t>€2.8 billion U.S. Space Force satellite contract (nuclear command and control)</w:t>
      </w:r>
    </w:p>
    <w:p w14:paraId="64390AF5" w14:textId="77777777" w:rsidR="00A57D24" w:rsidRPr="00213B86" w:rsidRDefault="00A57D24" w:rsidP="00127934">
      <w:pPr>
        <w:pStyle w:val="NormalWeb"/>
        <w:numPr>
          <w:ilvl w:val="1"/>
          <w:numId w:val="10"/>
        </w:numPr>
        <w:rPr>
          <w:sz w:val="22"/>
          <w:szCs w:val="22"/>
        </w:rPr>
      </w:pPr>
      <w:r w:rsidRPr="00213B86">
        <w:rPr>
          <w:sz w:val="22"/>
          <w:szCs w:val="22"/>
        </w:rPr>
        <w:t>Order for two more MRTTs, expanding NATO’s refueling fleet to 12</w:t>
      </w:r>
    </w:p>
    <w:p w14:paraId="7B6632B1" w14:textId="77777777" w:rsidR="00A57D24" w:rsidRPr="00213B86" w:rsidRDefault="00A57D24" w:rsidP="00127934">
      <w:pPr>
        <w:pStyle w:val="NormalWeb"/>
        <w:numPr>
          <w:ilvl w:val="1"/>
          <w:numId w:val="10"/>
        </w:numPr>
        <w:rPr>
          <w:sz w:val="22"/>
          <w:szCs w:val="22"/>
        </w:rPr>
      </w:pPr>
      <w:r w:rsidRPr="00213B86">
        <w:rPr>
          <w:sz w:val="22"/>
          <w:szCs w:val="22"/>
        </w:rPr>
        <w:t>MoU with Turkey and UK for new Eurofighter procurement</w:t>
      </w:r>
    </w:p>
    <w:p w14:paraId="1AB39A67" w14:textId="77777777" w:rsidR="00A57D24" w:rsidRPr="00213B86" w:rsidRDefault="00A57D24" w:rsidP="00127934">
      <w:pPr>
        <w:pStyle w:val="NormalWeb"/>
        <w:numPr>
          <w:ilvl w:val="0"/>
          <w:numId w:val="10"/>
        </w:numPr>
        <w:rPr>
          <w:sz w:val="22"/>
          <w:szCs w:val="22"/>
        </w:rPr>
      </w:pPr>
      <w:r w:rsidRPr="00213B86">
        <w:rPr>
          <w:rStyle w:val="Strong"/>
          <w:rFonts w:eastAsiaTheme="majorEastAsia"/>
          <w:sz w:val="22"/>
          <w:szCs w:val="22"/>
        </w:rPr>
        <w:t>Helicopters</w:t>
      </w:r>
      <w:r w:rsidRPr="00213B86">
        <w:rPr>
          <w:sz w:val="22"/>
          <w:szCs w:val="22"/>
        </w:rPr>
        <w:t xml:space="preserve"> division progressed with military variants like the H160M (maiden flight completed) and signed new contracts with Greece, Norway, and Spain.</w:t>
      </w:r>
    </w:p>
    <w:p w14:paraId="77371CAF" w14:textId="77777777" w:rsidR="00A57D24" w:rsidRPr="00213B86" w:rsidRDefault="00A57D24" w:rsidP="00127934">
      <w:pPr>
        <w:pStyle w:val="NormalWeb"/>
        <w:numPr>
          <w:ilvl w:val="0"/>
          <w:numId w:val="10"/>
        </w:numPr>
        <w:rPr>
          <w:sz w:val="22"/>
          <w:szCs w:val="22"/>
        </w:rPr>
      </w:pPr>
      <w:r w:rsidRPr="00213B86">
        <w:rPr>
          <w:sz w:val="22"/>
          <w:szCs w:val="22"/>
        </w:rPr>
        <w:t xml:space="preserve">Airbus is actively diversifying its </w:t>
      </w:r>
      <w:r w:rsidRPr="00213B86">
        <w:rPr>
          <w:rStyle w:val="Strong"/>
          <w:rFonts w:eastAsiaTheme="majorEastAsia"/>
          <w:sz w:val="22"/>
          <w:szCs w:val="22"/>
        </w:rPr>
        <w:t>uncrewed aerial systems (UAS)</w:t>
      </w:r>
      <w:r w:rsidRPr="00213B86">
        <w:rPr>
          <w:sz w:val="22"/>
          <w:szCs w:val="22"/>
        </w:rPr>
        <w:t xml:space="preserve"> capabilities via the VSR-700 and </w:t>
      </w:r>
      <w:proofErr w:type="spellStart"/>
      <w:r w:rsidRPr="00213B86">
        <w:rPr>
          <w:sz w:val="22"/>
          <w:szCs w:val="22"/>
        </w:rPr>
        <w:t>FlexRotor</w:t>
      </w:r>
      <w:proofErr w:type="spellEnd"/>
      <w:r w:rsidRPr="00213B86">
        <w:rPr>
          <w:sz w:val="22"/>
          <w:szCs w:val="22"/>
        </w:rPr>
        <w:t xml:space="preserve"> platforms, supporting new mission types for defense customers.</w:t>
      </w:r>
    </w:p>
    <w:p w14:paraId="1854596B" w14:textId="77777777" w:rsidR="00A57D24" w:rsidRPr="00213B86" w:rsidRDefault="00A57D24" w:rsidP="00A57D24">
      <w:pPr>
        <w:pStyle w:val="NormalWeb"/>
        <w:rPr>
          <w:sz w:val="22"/>
          <w:szCs w:val="22"/>
        </w:rPr>
      </w:pPr>
      <w:r w:rsidRPr="00213B86">
        <w:rPr>
          <w:rStyle w:val="Strong"/>
          <w:rFonts w:eastAsiaTheme="majorEastAsia"/>
          <w:sz w:val="22"/>
          <w:szCs w:val="22"/>
        </w:rPr>
        <w:t>Segment Performance &amp; Outlook</w:t>
      </w:r>
    </w:p>
    <w:p w14:paraId="76F70A73" w14:textId="77777777" w:rsidR="00A57D24" w:rsidRPr="00213B86" w:rsidRDefault="00A57D24" w:rsidP="00127934">
      <w:pPr>
        <w:pStyle w:val="NormalWeb"/>
        <w:numPr>
          <w:ilvl w:val="0"/>
          <w:numId w:val="11"/>
        </w:numPr>
        <w:rPr>
          <w:sz w:val="22"/>
          <w:szCs w:val="22"/>
        </w:rPr>
      </w:pPr>
      <w:r w:rsidRPr="00213B86">
        <w:rPr>
          <w:rStyle w:val="Strong"/>
          <w:rFonts w:eastAsiaTheme="majorEastAsia"/>
          <w:sz w:val="22"/>
          <w:szCs w:val="22"/>
        </w:rPr>
        <w:t>Commercial Aircraft</w:t>
      </w:r>
      <w:r w:rsidRPr="00213B86">
        <w:rPr>
          <w:sz w:val="22"/>
          <w:szCs w:val="22"/>
        </w:rPr>
        <w:t>:</w:t>
      </w:r>
    </w:p>
    <w:p w14:paraId="7E58E0E6" w14:textId="77777777" w:rsidR="00A57D24" w:rsidRPr="00213B86" w:rsidRDefault="00A57D24" w:rsidP="00127934">
      <w:pPr>
        <w:pStyle w:val="NormalWeb"/>
        <w:numPr>
          <w:ilvl w:val="1"/>
          <w:numId w:val="11"/>
        </w:numPr>
        <w:rPr>
          <w:sz w:val="22"/>
          <w:szCs w:val="22"/>
        </w:rPr>
      </w:pPr>
      <w:r w:rsidRPr="00213B86">
        <w:rPr>
          <w:sz w:val="22"/>
          <w:szCs w:val="22"/>
        </w:rPr>
        <w:t>H1 revenue: €20.3 billion (approximate)</w:t>
      </w:r>
    </w:p>
    <w:p w14:paraId="32B8D2F6" w14:textId="77777777" w:rsidR="00A57D24" w:rsidRPr="00213B86" w:rsidRDefault="00A57D24" w:rsidP="00127934">
      <w:pPr>
        <w:pStyle w:val="NormalWeb"/>
        <w:numPr>
          <w:ilvl w:val="1"/>
          <w:numId w:val="11"/>
        </w:numPr>
        <w:rPr>
          <w:sz w:val="22"/>
          <w:szCs w:val="22"/>
        </w:rPr>
      </w:pPr>
      <w:r w:rsidRPr="00213B86">
        <w:rPr>
          <w:sz w:val="22"/>
          <w:szCs w:val="22"/>
        </w:rPr>
        <w:t xml:space="preserve">Deliveries were lower due to engine delays, but the backlog rose to </w:t>
      </w:r>
      <w:r w:rsidRPr="00213B86">
        <w:rPr>
          <w:rStyle w:val="Strong"/>
          <w:rFonts w:eastAsiaTheme="majorEastAsia"/>
          <w:sz w:val="22"/>
          <w:szCs w:val="22"/>
        </w:rPr>
        <w:t>8,754 aircraft</w:t>
      </w:r>
      <w:r w:rsidRPr="00213B86">
        <w:rPr>
          <w:sz w:val="22"/>
          <w:szCs w:val="22"/>
        </w:rPr>
        <w:t>, dominated by A321 and A220 orders</w:t>
      </w:r>
    </w:p>
    <w:p w14:paraId="7782077F" w14:textId="77777777" w:rsidR="00A57D24" w:rsidRPr="00213B86" w:rsidRDefault="00A57D24" w:rsidP="00127934">
      <w:pPr>
        <w:pStyle w:val="NormalWeb"/>
        <w:numPr>
          <w:ilvl w:val="1"/>
          <w:numId w:val="11"/>
        </w:numPr>
        <w:rPr>
          <w:sz w:val="22"/>
          <w:szCs w:val="22"/>
        </w:rPr>
      </w:pPr>
      <w:r w:rsidRPr="00213B86">
        <w:rPr>
          <w:sz w:val="22"/>
          <w:szCs w:val="22"/>
        </w:rPr>
        <w:t>Widebody recovery continues with strong A330 and A350 order momentum</w:t>
      </w:r>
    </w:p>
    <w:p w14:paraId="52669510" w14:textId="77777777" w:rsidR="00A57D24" w:rsidRPr="00213B86" w:rsidRDefault="00A57D24" w:rsidP="00127934">
      <w:pPr>
        <w:pStyle w:val="NormalWeb"/>
        <w:numPr>
          <w:ilvl w:val="1"/>
          <w:numId w:val="11"/>
        </w:numPr>
        <w:rPr>
          <w:sz w:val="22"/>
          <w:szCs w:val="22"/>
        </w:rPr>
      </w:pPr>
      <w:r w:rsidRPr="00213B86">
        <w:rPr>
          <w:sz w:val="22"/>
          <w:szCs w:val="22"/>
        </w:rPr>
        <w:t>Engine-related bottlenecks expected to ease in H2, enabling target of 820 deliveries to be met</w:t>
      </w:r>
    </w:p>
    <w:p w14:paraId="44715F74" w14:textId="77777777" w:rsidR="00A57D24" w:rsidRPr="00213B86" w:rsidRDefault="00A57D24" w:rsidP="00127934">
      <w:pPr>
        <w:pStyle w:val="NormalWeb"/>
        <w:numPr>
          <w:ilvl w:val="1"/>
          <w:numId w:val="11"/>
        </w:numPr>
        <w:rPr>
          <w:sz w:val="22"/>
          <w:szCs w:val="22"/>
        </w:rPr>
      </w:pPr>
      <w:r w:rsidRPr="00213B86">
        <w:rPr>
          <w:rStyle w:val="Strong"/>
          <w:rFonts w:eastAsiaTheme="majorEastAsia"/>
          <w:sz w:val="22"/>
          <w:szCs w:val="22"/>
        </w:rPr>
        <w:t>Mobile, AL facility</w:t>
      </w:r>
      <w:r w:rsidRPr="00213B86">
        <w:rPr>
          <w:sz w:val="22"/>
          <w:szCs w:val="22"/>
        </w:rPr>
        <w:t xml:space="preserve"> remains key to meeting U.S. airline demand and insulates Airbus from EU-U.S. trade risks</w:t>
      </w:r>
    </w:p>
    <w:p w14:paraId="4C67BA69" w14:textId="77777777" w:rsidR="00A57D24" w:rsidRPr="00213B86" w:rsidRDefault="00A57D24" w:rsidP="00127934">
      <w:pPr>
        <w:pStyle w:val="NormalWeb"/>
        <w:numPr>
          <w:ilvl w:val="0"/>
          <w:numId w:val="11"/>
        </w:numPr>
        <w:rPr>
          <w:sz w:val="22"/>
          <w:szCs w:val="22"/>
        </w:rPr>
      </w:pPr>
      <w:r w:rsidRPr="00213B86">
        <w:rPr>
          <w:rStyle w:val="Strong"/>
          <w:rFonts w:eastAsiaTheme="majorEastAsia"/>
          <w:sz w:val="22"/>
          <w:szCs w:val="22"/>
        </w:rPr>
        <w:t>Defense &amp; Space</w:t>
      </w:r>
      <w:r w:rsidRPr="00213B86">
        <w:rPr>
          <w:sz w:val="22"/>
          <w:szCs w:val="22"/>
        </w:rPr>
        <w:t>:</w:t>
      </w:r>
    </w:p>
    <w:p w14:paraId="42671CBF" w14:textId="77777777" w:rsidR="00A57D24" w:rsidRPr="00213B86" w:rsidRDefault="00A57D24" w:rsidP="00127934">
      <w:pPr>
        <w:pStyle w:val="NormalWeb"/>
        <w:numPr>
          <w:ilvl w:val="1"/>
          <w:numId w:val="11"/>
        </w:numPr>
        <w:rPr>
          <w:sz w:val="22"/>
          <w:szCs w:val="22"/>
        </w:rPr>
      </w:pPr>
      <w:r w:rsidRPr="00213B86">
        <w:rPr>
          <w:sz w:val="22"/>
          <w:szCs w:val="22"/>
        </w:rPr>
        <w:t>H1 revenue: €5.8 billion (+17% YoY)</w:t>
      </w:r>
    </w:p>
    <w:p w14:paraId="08C6939F" w14:textId="77777777" w:rsidR="00A57D24" w:rsidRPr="00213B86" w:rsidRDefault="00A57D24" w:rsidP="00127934">
      <w:pPr>
        <w:pStyle w:val="NormalWeb"/>
        <w:numPr>
          <w:ilvl w:val="1"/>
          <w:numId w:val="11"/>
        </w:numPr>
        <w:rPr>
          <w:sz w:val="22"/>
          <w:szCs w:val="22"/>
        </w:rPr>
      </w:pPr>
      <w:r w:rsidRPr="00213B86">
        <w:rPr>
          <w:sz w:val="22"/>
          <w:szCs w:val="22"/>
        </w:rPr>
        <w:t>EBIT Adjusted: €265 million; rebounding strongly after the 2024 margin collapse</w:t>
      </w:r>
    </w:p>
    <w:p w14:paraId="4519F222" w14:textId="77777777" w:rsidR="00A57D24" w:rsidRPr="00213B86" w:rsidRDefault="00A57D24" w:rsidP="00127934">
      <w:pPr>
        <w:pStyle w:val="NormalWeb"/>
        <w:numPr>
          <w:ilvl w:val="1"/>
          <w:numId w:val="11"/>
        </w:numPr>
        <w:rPr>
          <w:sz w:val="22"/>
          <w:szCs w:val="22"/>
        </w:rPr>
      </w:pPr>
      <w:r w:rsidRPr="00213B86">
        <w:rPr>
          <w:sz w:val="22"/>
          <w:szCs w:val="22"/>
        </w:rPr>
        <w:t>Positive contributions from satellites, Eurofighter, MRTT, and the A400M program (7 deliveries advanced for France and Spain)</w:t>
      </w:r>
    </w:p>
    <w:p w14:paraId="0F6AE51C" w14:textId="77777777" w:rsidR="00A57D24" w:rsidRPr="00213B86" w:rsidRDefault="00A57D24" w:rsidP="00127934">
      <w:pPr>
        <w:pStyle w:val="NormalWeb"/>
        <w:numPr>
          <w:ilvl w:val="1"/>
          <w:numId w:val="11"/>
        </w:numPr>
        <w:rPr>
          <w:sz w:val="22"/>
          <w:szCs w:val="22"/>
        </w:rPr>
      </w:pPr>
      <w:r w:rsidRPr="00213B86">
        <w:rPr>
          <w:sz w:val="22"/>
          <w:szCs w:val="22"/>
        </w:rPr>
        <w:t>Demand environment boosted by NATO budget increases and geopolitical instability</w:t>
      </w:r>
    </w:p>
    <w:p w14:paraId="12E42616" w14:textId="77777777" w:rsidR="00A57D24" w:rsidRPr="00213B86" w:rsidRDefault="00A57D24" w:rsidP="00127934">
      <w:pPr>
        <w:pStyle w:val="NormalWeb"/>
        <w:numPr>
          <w:ilvl w:val="0"/>
          <w:numId w:val="11"/>
        </w:numPr>
        <w:rPr>
          <w:sz w:val="22"/>
          <w:szCs w:val="22"/>
        </w:rPr>
      </w:pPr>
      <w:r w:rsidRPr="00213B86">
        <w:rPr>
          <w:rStyle w:val="Strong"/>
          <w:rFonts w:eastAsiaTheme="majorEastAsia"/>
          <w:sz w:val="22"/>
          <w:szCs w:val="22"/>
        </w:rPr>
        <w:t>Helicopters</w:t>
      </w:r>
      <w:r w:rsidRPr="00213B86">
        <w:rPr>
          <w:sz w:val="22"/>
          <w:szCs w:val="22"/>
        </w:rPr>
        <w:t>:</w:t>
      </w:r>
    </w:p>
    <w:p w14:paraId="5595D556" w14:textId="77777777" w:rsidR="00A57D24" w:rsidRPr="00213B86" w:rsidRDefault="00A57D24" w:rsidP="00127934">
      <w:pPr>
        <w:pStyle w:val="NormalWeb"/>
        <w:numPr>
          <w:ilvl w:val="1"/>
          <w:numId w:val="11"/>
        </w:numPr>
        <w:rPr>
          <w:sz w:val="22"/>
          <w:szCs w:val="22"/>
        </w:rPr>
      </w:pPr>
      <w:r w:rsidRPr="00213B86">
        <w:rPr>
          <w:sz w:val="22"/>
          <w:szCs w:val="22"/>
        </w:rPr>
        <w:t>H1 revenue: €3.7 billion (+16% YoY)</w:t>
      </w:r>
    </w:p>
    <w:p w14:paraId="702618AF" w14:textId="77777777" w:rsidR="00A57D24" w:rsidRPr="00213B86" w:rsidRDefault="00A57D24" w:rsidP="00127934">
      <w:pPr>
        <w:pStyle w:val="NormalWeb"/>
        <w:numPr>
          <w:ilvl w:val="1"/>
          <w:numId w:val="11"/>
        </w:numPr>
        <w:rPr>
          <w:sz w:val="22"/>
          <w:szCs w:val="22"/>
        </w:rPr>
      </w:pPr>
      <w:r w:rsidRPr="00213B86">
        <w:rPr>
          <w:sz w:val="22"/>
          <w:szCs w:val="22"/>
        </w:rPr>
        <w:t>EBIT Adjusted: €249 million</w:t>
      </w:r>
    </w:p>
    <w:p w14:paraId="008DE69E" w14:textId="77777777" w:rsidR="00A57D24" w:rsidRPr="00213B86" w:rsidRDefault="00A57D24" w:rsidP="00127934">
      <w:pPr>
        <w:pStyle w:val="NormalWeb"/>
        <w:numPr>
          <w:ilvl w:val="1"/>
          <w:numId w:val="11"/>
        </w:numPr>
        <w:rPr>
          <w:sz w:val="22"/>
          <w:szCs w:val="22"/>
        </w:rPr>
      </w:pPr>
      <w:r w:rsidRPr="00213B86">
        <w:rPr>
          <w:sz w:val="22"/>
          <w:szCs w:val="22"/>
        </w:rPr>
        <w:t>Delivered 138 helicopters (+14 YoY), including multiple orders for H145, H215, and military variants</w:t>
      </w:r>
    </w:p>
    <w:p w14:paraId="5ED4E462" w14:textId="77777777" w:rsidR="00A57D24" w:rsidRPr="00213B86" w:rsidRDefault="00A57D24" w:rsidP="00127934">
      <w:pPr>
        <w:pStyle w:val="NormalWeb"/>
        <w:numPr>
          <w:ilvl w:val="1"/>
          <w:numId w:val="11"/>
        </w:numPr>
        <w:rPr>
          <w:sz w:val="22"/>
          <w:szCs w:val="22"/>
        </w:rPr>
      </w:pPr>
      <w:r w:rsidRPr="00213B86">
        <w:rPr>
          <w:sz w:val="22"/>
          <w:szCs w:val="22"/>
        </w:rPr>
        <w:t>Backlog supported by steady demand from governments and emergency service providers</w:t>
      </w:r>
    </w:p>
    <w:p w14:paraId="284A6B28" w14:textId="77777777" w:rsidR="00A57D24" w:rsidRPr="00213B86" w:rsidRDefault="00A57D24" w:rsidP="00127934">
      <w:pPr>
        <w:pStyle w:val="NormalWeb"/>
        <w:numPr>
          <w:ilvl w:val="0"/>
          <w:numId w:val="11"/>
        </w:numPr>
        <w:rPr>
          <w:sz w:val="22"/>
          <w:szCs w:val="22"/>
        </w:rPr>
      </w:pPr>
      <w:r w:rsidRPr="00213B86">
        <w:rPr>
          <w:rStyle w:val="Strong"/>
          <w:rFonts w:eastAsiaTheme="majorEastAsia"/>
          <w:sz w:val="22"/>
          <w:szCs w:val="22"/>
        </w:rPr>
        <w:t>Outlook</w:t>
      </w:r>
      <w:r w:rsidRPr="00213B86">
        <w:rPr>
          <w:sz w:val="22"/>
          <w:szCs w:val="22"/>
        </w:rPr>
        <w:t>:</w:t>
      </w:r>
    </w:p>
    <w:p w14:paraId="49FD9D85" w14:textId="77777777" w:rsidR="00A57D24" w:rsidRPr="00213B86" w:rsidRDefault="00A57D24" w:rsidP="00127934">
      <w:pPr>
        <w:pStyle w:val="NormalWeb"/>
        <w:numPr>
          <w:ilvl w:val="1"/>
          <w:numId w:val="11"/>
        </w:numPr>
        <w:rPr>
          <w:sz w:val="22"/>
          <w:szCs w:val="22"/>
        </w:rPr>
      </w:pPr>
      <w:r w:rsidRPr="00213B86">
        <w:rPr>
          <w:sz w:val="22"/>
          <w:szCs w:val="22"/>
        </w:rPr>
        <w:t xml:space="preserve">Airbus remains confident in delivering </w:t>
      </w:r>
      <w:r w:rsidRPr="00213B86">
        <w:rPr>
          <w:rStyle w:val="Strong"/>
          <w:rFonts w:eastAsiaTheme="majorEastAsia"/>
          <w:sz w:val="22"/>
          <w:szCs w:val="22"/>
        </w:rPr>
        <w:t>most aircraft in H2</w:t>
      </w:r>
      <w:r w:rsidRPr="00213B86">
        <w:rPr>
          <w:sz w:val="22"/>
          <w:szCs w:val="22"/>
        </w:rPr>
        <w:t>, with engine supplies expected to improve</w:t>
      </w:r>
    </w:p>
    <w:p w14:paraId="2190D5CE" w14:textId="77777777" w:rsidR="00A57D24" w:rsidRPr="00213B86" w:rsidRDefault="00A57D24" w:rsidP="00127934">
      <w:pPr>
        <w:pStyle w:val="NormalWeb"/>
        <w:numPr>
          <w:ilvl w:val="1"/>
          <w:numId w:val="11"/>
        </w:numPr>
        <w:rPr>
          <w:sz w:val="22"/>
          <w:szCs w:val="22"/>
        </w:rPr>
      </w:pPr>
      <w:r w:rsidRPr="00213B86">
        <w:rPr>
          <w:sz w:val="22"/>
          <w:szCs w:val="22"/>
        </w:rPr>
        <w:t>Widebody demand is exceeding expectations, with robust order activity in Asia, the Middle East, and Europe</w:t>
      </w:r>
    </w:p>
    <w:p w14:paraId="4C66F52F" w14:textId="77777777" w:rsidR="00A57D24" w:rsidRPr="00213B86" w:rsidRDefault="00A57D24" w:rsidP="00127934">
      <w:pPr>
        <w:pStyle w:val="NormalWeb"/>
        <w:numPr>
          <w:ilvl w:val="1"/>
          <w:numId w:val="11"/>
        </w:numPr>
        <w:rPr>
          <w:sz w:val="22"/>
          <w:szCs w:val="22"/>
        </w:rPr>
      </w:pPr>
      <w:r w:rsidRPr="00213B86">
        <w:rPr>
          <w:sz w:val="22"/>
          <w:szCs w:val="22"/>
        </w:rPr>
        <w:t xml:space="preserve">Defense and space pipeline remains healthy; Airbus is </w:t>
      </w:r>
      <w:proofErr w:type="gramStart"/>
      <w:r w:rsidRPr="00213B86">
        <w:rPr>
          <w:sz w:val="22"/>
          <w:szCs w:val="22"/>
        </w:rPr>
        <w:t>positioning</w:t>
      </w:r>
      <w:proofErr w:type="gramEnd"/>
      <w:r w:rsidRPr="00213B86">
        <w:rPr>
          <w:sz w:val="22"/>
          <w:szCs w:val="22"/>
        </w:rPr>
        <w:t xml:space="preserve"> to become a more consolidated European defense supplier</w:t>
      </w:r>
    </w:p>
    <w:p w14:paraId="24D8F281" w14:textId="77777777" w:rsidR="00A57D24" w:rsidRPr="00213B86" w:rsidRDefault="00A57D24" w:rsidP="00127934">
      <w:pPr>
        <w:pStyle w:val="NormalWeb"/>
        <w:numPr>
          <w:ilvl w:val="1"/>
          <w:numId w:val="11"/>
        </w:numPr>
        <w:rPr>
          <w:sz w:val="22"/>
          <w:szCs w:val="22"/>
        </w:rPr>
      </w:pPr>
      <w:r w:rsidRPr="00213B86">
        <w:rPr>
          <w:sz w:val="22"/>
          <w:szCs w:val="22"/>
        </w:rPr>
        <w:t>U.S. production and supply chain (especially Mobile, AL) are increasingly important in a more protectionist global trade landscape</w:t>
      </w:r>
    </w:p>
    <w:p w14:paraId="46F8C04D" w14:textId="77777777" w:rsidR="00A57D24" w:rsidRPr="00213B86" w:rsidRDefault="00A57D24" w:rsidP="74BCABAA">
      <w:pPr>
        <w:spacing w:beforeAutospacing="1" w:afterAutospacing="1" w:line="240" w:lineRule="auto"/>
        <w:rPr>
          <w:rFonts w:ascii="Times New Roman" w:eastAsia="Times New Roman" w:hAnsi="Times New Roman" w:cs="Times New Roman"/>
        </w:rPr>
      </w:pPr>
    </w:p>
    <w:p w14:paraId="59AEF8F6" w14:textId="1D312DA9"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5335E894" w14:textId="77777777" w:rsidR="008B733A" w:rsidRPr="00BC0D8E" w:rsidRDefault="34354836" w:rsidP="008B733A">
      <w:pPr>
        <w:pStyle w:val="Heading2"/>
        <w:rPr>
          <w:rFonts w:cs="Times New Roman"/>
        </w:rPr>
      </w:pPr>
      <w:bookmarkStart w:id="13" w:name="_Toc147824646"/>
      <w:bookmarkStart w:id="14" w:name="_Toc212796734"/>
      <w:r w:rsidRPr="2535092B">
        <w:rPr>
          <w:rFonts w:cs="Times New Roman"/>
        </w:rPr>
        <w:t>Boeing Co. (NYSE:BA)</w:t>
      </w:r>
      <w:bookmarkEnd w:id="13"/>
      <w:bookmarkEnd w:id="14"/>
      <w:r w:rsidRPr="2535092B">
        <w:rPr>
          <w:rFonts w:cs="Times New Roman"/>
        </w:rPr>
        <w:t xml:space="preserve"> </w:t>
      </w:r>
    </w:p>
    <w:p w14:paraId="562845F0" w14:textId="603E93AC" w:rsidR="008B733A" w:rsidRPr="00BC0D8E" w:rsidRDefault="02FFA956" w:rsidP="008B733A">
      <w:pPr>
        <w:pStyle w:val="Heading3"/>
        <w:rPr>
          <w:rFonts w:cs="Times New Roman"/>
        </w:rPr>
      </w:pPr>
      <w:bookmarkStart w:id="15" w:name="_Toc147824647"/>
      <w:bookmarkStart w:id="16" w:name="_Toc212796735"/>
      <w:r w:rsidRPr="2EEB26EF">
        <w:rPr>
          <w:rFonts w:cs="Times New Roman"/>
        </w:rPr>
        <w:t xml:space="preserve">Outlook: </w:t>
      </w:r>
      <w:bookmarkEnd w:id="15"/>
      <w:r w:rsidR="00B33BB5">
        <w:rPr>
          <w:rFonts w:cs="Times New Roman"/>
        </w:rPr>
        <w:t>Neutral</w:t>
      </w:r>
      <w:bookmarkEnd w:id="16"/>
    </w:p>
    <w:p w14:paraId="620FEFA9" w14:textId="4E7CB577" w:rsidR="008B733A" w:rsidRPr="00BC0D8E" w:rsidRDefault="02FFA956" w:rsidP="008B733A">
      <w:pPr>
        <w:pStyle w:val="Heading3"/>
        <w:rPr>
          <w:rFonts w:cs="Times New Roman"/>
        </w:rPr>
      </w:pPr>
      <w:bookmarkStart w:id="17" w:name="_Toc147824648"/>
      <w:bookmarkStart w:id="18" w:name="_Toc212796736"/>
      <w:r w:rsidRPr="2EEB26EF">
        <w:rPr>
          <w:rFonts w:cs="Times New Roman"/>
        </w:rPr>
        <w:t xml:space="preserve">AL Outlook: </w:t>
      </w:r>
      <w:bookmarkEnd w:id="17"/>
      <w:r w:rsidR="00B33BB5" w:rsidRPr="00AF2939">
        <w:rPr>
          <w:rFonts w:cs="Times New Roman"/>
          <w:color w:val="00B050"/>
        </w:rPr>
        <w:t>Positive</w:t>
      </w:r>
      <w:bookmarkEnd w:id="18"/>
    </w:p>
    <w:p w14:paraId="186A20AE" w14:textId="14863F93" w:rsidR="008B733A" w:rsidRPr="00BC0D8E" w:rsidRDefault="02FFA956" w:rsidP="2535092B">
      <w:pPr>
        <w:spacing w:before="240" w:after="240"/>
        <w:rPr>
          <w:rFonts w:ascii="Times New Roman" w:hAnsi="Times New Roman" w:cs="Times New Roman"/>
        </w:rPr>
      </w:pPr>
      <w:r w:rsidRPr="0227D82F">
        <w:rPr>
          <w:rFonts w:ascii="Times New Roman" w:hAnsi="Times New Roman" w:cs="Times New Roman"/>
          <w:b/>
          <w:bCs/>
        </w:rPr>
        <w:t>Recommended Action:</w:t>
      </w:r>
      <w:r w:rsidRPr="0227D82F">
        <w:rPr>
          <w:rFonts w:ascii="Times New Roman" w:hAnsi="Times New Roman" w:cs="Times New Roman"/>
        </w:rPr>
        <w:t xml:space="preserve"> </w:t>
      </w:r>
      <w:commentRangeStart w:id="19"/>
      <w:r w:rsidR="320317FD" w:rsidRPr="0227D82F">
        <w:rPr>
          <w:rFonts w:ascii="Times New Roman" w:hAnsi="Times New Roman" w:cs="Times New Roman"/>
        </w:rPr>
        <w:t>N/A</w:t>
      </w:r>
      <w:commentRangeEnd w:id="19"/>
      <w:r>
        <w:rPr>
          <w:rStyle w:val="CommentReference"/>
        </w:rPr>
        <w:commentReference w:id="19"/>
      </w:r>
    </w:p>
    <w:p w14:paraId="12AC7571" w14:textId="320BEEA5" w:rsidR="00F71615" w:rsidRPr="001C35F2" w:rsidRDefault="3BD27609" w:rsidP="3CA273EB">
      <w:pPr>
        <w:spacing w:beforeAutospacing="1" w:afterAutospacing="1" w:line="240" w:lineRule="auto"/>
        <w:rPr>
          <w:rFonts w:ascii="Times New Roman" w:eastAsia="Times New Roman" w:hAnsi="Times New Roman" w:cs="Times New Roman"/>
        </w:rPr>
      </w:pPr>
      <w:r w:rsidRPr="2535092B">
        <w:rPr>
          <w:rStyle w:val="Strong"/>
          <w:rFonts w:ascii="Times New Roman" w:eastAsia="Times New Roman" w:hAnsi="Times New Roman" w:cs="Times New Roman"/>
          <w:color w:val="000000" w:themeColor="text1"/>
        </w:rPr>
        <w:t>Alabama Location(s)</w:t>
      </w:r>
      <w:r w:rsidRPr="2535092B">
        <w:rPr>
          <w:rFonts w:ascii="Times New Roman" w:eastAsia="Times New Roman" w:hAnsi="Times New Roman" w:cs="Times New Roman"/>
          <w:color w:val="000000" w:themeColor="text1"/>
        </w:rPr>
        <w:t>: Huntsville: Aerospace and defense facility</w:t>
      </w:r>
    </w:p>
    <w:p w14:paraId="62C4E89B" w14:textId="77777777" w:rsidR="00507F39" w:rsidRPr="00213B86" w:rsidRDefault="00507F39" w:rsidP="00507F39">
      <w:pPr>
        <w:pStyle w:val="NormalWeb"/>
        <w:rPr>
          <w:sz w:val="22"/>
          <w:szCs w:val="22"/>
        </w:rPr>
      </w:pPr>
      <w:r w:rsidRPr="00213B86">
        <w:rPr>
          <w:rStyle w:val="Strong"/>
          <w:rFonts w:eastAsiaTheme="majorEastAsia"/>
          <w:sz w:val="22"/>
          <w:szCs w:val="22"/>
        </w:rPr>
        <w:t>Key Takeaways</w:t>
      </w:r>
    </w:p>
    <w:p w14:paraId="371C78EC" w14:textId="77777777" w:rsidR="00507F39" w:rsidRPr="00213B86" w:rsidRDefault="00507F39" w:rsidP="00127934">
      <w:pPr>
        <w:pStyle w:val="NormalWeb"/>
        <w:numPr>
          <w:ilvl w:val="0"/>
          <w:numId w:val="12"/>
        </w:numPr>
        <w:rPr>
          <w:sz w:val="22"/>
          <w:szCs w:val="22"/>
        </w:rPr>
      </w:pPr>
      <w:r w:rsidRPr="00213B86">
        <w:rPr>
          <w:sz w:val="22"/>
          <w:szCs w:val="22"/>
        </w:rPr>
        <w:t>Boeing reported a strong operational rebound in Q2 2025 with commercial deliveries at their highest level since 2018 and improved performance across all segments.</w:t>
      </w:r>
    </w:p>
    <w:p w14:paraId="5A57BDD0" w14:textId="77777777" w:rsidR="00507F39" w:rsidRPr="00213B86" w:rsidRDefault="00507F39" w:rsidP="00127934">
      <w:pPr>
        <w:pStyle w:val="NormalWeb"/>
        <w:numPr>
          <w:ilvl w:val="0"/>
          <w:numId w:val="12"/>
        </w:numPr>
        <w:rPr>
          <w:sz w:val="22"/>
          <w:szCs w:val="22"/>
        </w:rPr>
      </w:pPr>
      <w:r w:rsidRPr="00213B86">
        <w:rPr>
          <w:sz w:val="22"/>
          <w:szCs w:val="22"/>
        </w:rPr>
        <w:t>Despite a core loss per share of $1.24, results exceeded expectations due to strong widebody deliveries and stabilization in the 737 and 787 programs.</w:t>
      </w:r>
    </w:p>
    <w:p w14:paraId="7319CAB9" w14:textId="77777777" w:rsidR="00507F39" w:rsidRPr="00213B86" w:rsidRDefault="00507F39" w:rsidP="00127934">
      <w:pPr>
        <w:pStyle w:val="NormalWeb"/>
        <w:numPr>
          <w:ilvl w:val="0"/>
          <w:numId w:val="12"/>
        </w:numPr>
        <w:rPr>
          <w:sz w:val="22"/>
          <w:szCs w:val="22"/>
        </w:rPr>
      </w:pPr>
      <w:r w:rsidRPr="00213B86">
        <w:rPr>
          <w:sz w:val="22"/>
          <w:szCs w:val="22"/>
        </w:rPr>
        <w:t xml:space="preserve">The company delivered 150 commercial aircraft in Q2 and remains on track to ramp 737 </w:t>
      </w:r>
      <w:proofErr w:type="gramStart"/>
      <w:r w:rsidRPr="00213B86">
        <w:rPr>
          <w:sz w:val="22"/>
          <w:szCs w:val="22"/>
        </w:rPr>
        <w:t>production</w:t>
      </w:r>
      <w:proofErr w:type="gramEnd"/>
      <w:r w:rsidRPr="00213B86">
        <w:rPr>
          <w:sz w:val="22"/>
          <w:szCs w:val="22"/>
        </w:rPr>
        <w:t xml:space="preserve"> from 38 to 42/month pending FAA approval.</w:t>
      </w:r>
    </w:p>
    <w:p w14:paraId="3F830634" w14:textId="77777777" w:rsidR="00507F39" w:rsidRPr="00213B86" w:rsidRDefault="00507F39" w:rsidP="00127934">
      <w:pPr>
        <w:pStyle w:val="NormalWeb"/>
        <w:numPr>
          <w:ilvl w:val="0"/>
          <w:numId w:val="12"/>
        </w:numPr>
        <w:rPr>
          <w:sz w:val="22"/>
          <w:szCs w:val="22"/>
        </w:rPr>
      </w:pPr>
      <w:r w:rsidRPr="00213B86">
        <w:rPr>
          <w:sz w:val="22"/>
          <w:szCs w:val="22"/>
        </w:rPr>
        <w:t>Defense programs, especially MQ-25 and T-7A, showed notable progress, with additional milestones completed and customer confidence returning.</w:t>
      </w:r>
    </w:p>
    <w:p w14:paraId="2091E16B" w14:textId="77777777" w:rsidR="00507F39" w:rsidRPr="00213B86" w:rsidRDefault="00507F39" w:rsidP="00127934">
      <w:pPr>
        <w:pStyle w:val="NormalWeb"/>
        <w:numPr>
          <w:ilvl w:val="0"/>
          <w:numId w:val="12"/>
        </w:numPr>
        <w:rPr>
          <w:sz w:val="22"/>
          <w:szCs w:val="22"/>
        </w:rPr>
      </w:pPr>
      <w:r w:rsidRPr="00213B86">
        <w:rPr>
          <w:sz w:val="22"/>
          <w:szCs w:val="22"/>
        </w:rPr>
        <w:t>Global Services continues to outperform, delivering 19.9% operating margin and supporting military and commercial fleets with MRO and training programs.</w:t>
      </w:r>
    </w:p>
    <w:p w14:paraId="17818843" w14:textId="77777777" w:rsidR="00507F39" w:rsidRPr="00213B86" w:rsidRDefault="00507F39" w:rsidP="00127934">
      <w:pPr>
        <w:pStyle w:val="NormalWeb"/>
        <w:numPr>
          <w:ilvl w:val="0"/>
          <w:numId w:val="12"/>
        </w:numPr>
        <w:rPr>
          <w:sz w:val="22"/>
          <w:szCs w:val="22"/>
        </w:rPr>
      </w:pPr>
      <w:r w:rsidRPr="00213B86">
        <w:rPr>
          <w:sz w:val="22"/>
          <w:szCs w:val="22"/>
        </w:rPr>
        <w:t xml:space="preserve">Boeing’s </w:t>
      </w:r>
      <w:proofErr w:type="gramStart"/>
      <w:r w:rsidRPr="00213B86">
        <w:rPr>
          <w:sz w:val="22"/>
          <w:szCs w:val="22"/>
        </w:rPr>
        <w:t>Huntsville,</w:t>
      </w:r>
      <w:proofErr w:type="gramEnd"/>
      <w:r w:rsidRPr="00213B86">
        <w:rPr>
          <w:sz w:val="22"/>
          <w:szCs w:val="22"/>
        </w:rPr>
        <w:t xml:space="preserve"> Alabama operations remain strategically significant, especially in missile defense, aerospace engineering, and satellite programs.</w:t>
      </w:r>
    </w:p>
    <w:p w14:paraId="5F552344" w14:textId="77777777" w:rsidR="00507F39" w:rsidRPr="00213B86" w:rsidRDefault="00507F39" w:rsidP="00507F39">
      <w:pPr>
        <w:pStyle w:val="NormalWeb"/>
        <w:rPr>
          <w:sz w:val="22"/>
          <w:szCs w:val="22"/>
        </w:rPr>
      </w:pPr>
      <w:r w:rsidRPr="00213B86">
        <w:rPr>
          <w:rStyle w:val="Strong"/>
          <w:rFonts w:eastAsiaTheme="majorEastAsia"/>
          <w:sz w:val="22"/>
          <w:szCs w:val="22"/>
        </w:rPr>
        <w:t>Financial Highlights</w:t>
      </w:r>
    </w:p>
    <w:p w14:paraId="6036D8FE" w14:textId="77777777" w:rsidR="00507F39" w:rsidRPr="00213B86" w:rsidRDefault="00507F39" w:rsidP="00127934">
      <w:pPr>
        <w:pStyle w:val="NormalWeb"/>
        <w:numPr>
          <w:ilvl w:val="0"/>
          <w:numId w:val="13"/>
        </w:numPr>
        <w:rPr>
          <w:sz w:val="22"/>
          <w:szCs w:val="22"/>
        </w:rPr>
      </w:pPr>
      <w:r w:rsidRPr="00213B86">
        <w:rPr>
          <w:sz w:val="22"/>
          <w:szCs w:val="22"/>
        </w:rPr>
        <w:t xml:space="preserve">Q2 2025 revenue was </w:t>
      </w:r>
      <w:r w:rsidRPr="00213B86">
        <w:rPr>
          <w:rStyle w:val="Strong"/>
          <w:rFonts w:eastAsiaTheme="majorEastAsia"/>
          <w:sz w:val="22"/>
          <w:szCs w:val="22"/>
        </w:rPr>
        <w:t>$22.75 billion</w:t>
      </w:r>
      <w:r w:rsidRPr="00213B86">
        <w:rPr>
          <w:sz w:val="22"/>
          <w:szCs w:val="22"/>
        </w:rPr>
        <w:t xml:space="preserve">, a </w:t>
      </w:r>
      <w:r w:rsidRPr="00213B86">
        <w:rPr>
          <w:rStyle w:val="Strong"/>
          <w:rFonts w:eastAsiaTheme="majorEastAsia"/>
          <w:sz w:val="22"/>
          <w:szCs w:val="22"/>
        </w:rPr>
        <w:t>35% YoY increase</w:t>
      </w:r>
      <w:r w:rsidRPr="00213B86">
        <w:rPr>
          <w:sz w:val="22"/>
          <w:szCs w:val="22"/>
        </w:rPr>
        <w:t>, primarily due to higher commercial aircraft deliveries.</w:t>
      </w:r>
    </w:p>
    <w:p w14:paraId="332F7AB1" w14:textId="77777777" w:rsidR="00507F39" w:rsidRPr="00213B86" w:rsidRDefault="00507F39" w:rsidP="00127934">
      <w:pPr>
        <w:pStyle w:val="NormalWeb"/>
        <w:numPr>
          <w:ilvl w:val="0"/>
          <w:numId w:val="13"/>
        </w:numPr>
        <w:rPr>
          <w:sz w:val="22"/>
          <w:szCs w:val="22"/>
        </w:rPr>
      </w:pPr>
      <w:r w:rsidRPr="00213B86">
        <w:rPr>
          <w:sz w:val="22"/>
          <w:szCs w:val="22"/>
        </w:rPr>
        <w:t xml:space="preserve">Core loss per share was </w:t>
      </w:r>
      <w:r w:rsidRPr="00213B86">
        <w:rPr>
          <w:rStyle w:val="Strong"/>
          <w:rFonts w:eastAsiaTheme="majorEastAsia"/>
          <w:sz w:val="22"/>
          <w:szCs w:val="22"/>
        </w:rPr>
        <w:t>$1.24</w:t>
      </w:r>
      <w:r w:rsidRPr="00213B86">
        <w:rPr>
          <w:sz w:val="22"/>
          <w:szCs w:val="22"/>
        </w:rPr>
        <w:t>, a major improvement from prior quarters (Q2 2024: -$10.44), driven by stronger commercial volume and operational efficiency.</w:t>
      </w:r>
    </w:p>
    <w:p w14:paraId="3F8299CA" w14:textId="77777777" w:rsidR="00507F39" w:rsidRPr="00213B86" w:rsidRDefault="00507F39" w:rsidP="00127934">
      <w:pPr>
        <w:pStyle w:val="NormalWeb"/>
        <w:numPr>
          <w:ilvl w:val="0"/>
          <w:numId w:val="13"/>
        </w:numPr>
        <w:rPr>
          <w:sz w:val="22"/>
          <w:szCs w:val="22"/>
        </w:rPr>
      </w:pPr>
      <w:r w:rsidRPr="00213B86">
        <w:rPr>
          <w:sz w:val="22"/>
          <w:szCs w:val="22"/>
        </w:rPr>
        <w:t xml:space="preserve">Free cash flow usage was </w:t>
      </w:r>
      <w:r w:rsidRPr="00213B86">
        <w:rPr>
          <w:rStyle w:val="Strong"/>
          <w:rFonts w:eastAsiaTheme="majorEastAsia"/>
          <w:sz w:val="22"/>
          <w:szCs w:val="22"/>
        </w:rPr>
        <w:t>$200 million</w:t>
      </w:r>
      <w:r w:rsidRPr="00213B86">
        <w:rPr>
          <w:sz w:val="22"/>
          <w:szCs w:val="22"/>
        </w:rPr>
        <w:t>, substantially better than expected, supported by strong 777 deliveries and improved working capital.</w:t>
      </w:r>
    </w:p>
    <w:p w14:paraId="1052AAC9" w14:textId="77777777" w:rsidR="00507F39" w:rsidRPr="00213B86" w:rsidRDefault="00507F39" w:rsidP="00127934">
      <w:pPr>
        <w:pStyle w:val="NormalWeb"/>
        <w:numPr>
          <w:ilvl w:val="0"/>
          <w:numId w:val="13"/>
        </w:numPr>
        <w:rPr>
          <w:sz w:val="22"/>
          <w:szCs w:val="22"/>
        </w:rPr>
      </w:pPr>
      <w:r w:rsidRPr="00213B86">
        <w:rPr>
          <w:sz w:val="22"/>
          <w:szCs w:val="22"/>
        </w:rPr>
        <w:t xml:space="preserve">13 777 aircraft were delivered in Q2 (vs. typical 6–7), contributing over </w:t>
      </w:r>
      <w:r w:rsidRPr="00213B86">
        <w:rPr>
          <w:rStyle w:val="Strong"/>
          <w:rFonts w:eastAsiaTheme="majorEastAsia"/>
          <w:sz w:val="22"/>
          <w:szCs w:val="22"/>
        </w:rPr>
        <w:t>$700 million in incremental free cash flow</w:t>
      </w:r>
      <w:r w:rsidRPr="00213B86">
        <w:rPr>
          <w:sz w:val="22"/>
          <w:szCs w:val="22"/>
        </w:rPr>
        <w:t>.</w:t>
      </w:r>
    </w:p>
    <w:p w14:paraId="4E6E90AC" w14:textId="77777777" w:rsidR="00507F39" w:rsidRPr="00213B86" w:rsidRDefault="00507F39" w:rsidP="00127934">
      <w:pPr>
        <w:pStyle w:val="NormalWeb"/>
        <w:numPr>
          <w:ilvl w:val="0"/>
          <w:numId w:val="13"/>
        </w:numPr>
        <w:rPr>
          <w:sz w:val="22"/>
          <w:szCs w:val="22"/>
        </w:rPr>
      </w:pPr>
      <w:r w:rsidRPr="00213B86">
        <w:rPr>
          <w:sz w:val="22"/>
          <w:szCs w:val="22"/>
        </w:rPr>
        <w:t xml:space="preserve">Boeing expects free cash flow to turn </w:t>
      </w:r>
      <w:r w:rsidRPr="00213B86">
        <w:rPr>
          <w:rStyle w:val="Strong"/>
          <w:rFonts w:eastAsiaTheme="majorEastAsia"/>
          <w:sz w:val="22"/>
          <w:szCs w:val="22"/>
        </w:rPr>
        <w:t>positive in Q4 2025</w:t>
      </w:r>
      <w:r w:rsidRPr="00213B86">
        <w:rPr>
          <w:sz w:val="22"/>
          <w:szCs w:val="22"/>
        </w:rPr>
        <w:t>, with H2 recovery depending on continued delivery momentum and global trade stability.</w:t>
      </w:r>
    </w:p>
    <w:p w14:paraId="02B10469" w14:textId="77777777" w:rsidR="00507F39" w:rsidRPr="00213B86" w:rsidRDefault="00507F39" w:rsidP="00127934">
      <w:pPr>
        <w:pStyle w:val="NormalWeb"/>
        <w:numPr>
          <w:ilvl w:val="0"/>
          <w:numId w:val="13"/>
        </w:numPr>
        <w:rPr>
          <w:sz w:val="22"/>
          <w:szCs w:val="22"/>
        </w:rPr>
      </w:pPr>
      <w:r w:rsidRPr="00213B86">
        <w:rPr>
          <w:sz w:val="22"/>
          <w:szCs w:val="22"/>
        </w:rPr>
        <w:t xml:space="preserve">Debt reduced by $300 million to </w:t>
      </w:r>
      <w:r w:rsidRPr="00213B86">
        <w:rPr>
          <w:rStyle w:val="Strong"/>
          <w:rFonts w:eastAsiaTheme="majorEastAsia"/>
          <w:sz w:val="22"/>
          <w:szCs w:val="22"/>
        </w:rPr>
        <w:t>$53.3 billion</w:t>
      </w:r>
      <w:r w:rsidRPr="00213B86">
        <w:rPr>
          <w:sz w:val="22"/>
          <w:szCs w:val="22"/>
        </w:rPr>
        <w:t>; company maintains $23B in liquidity and has access to a $10B revolving credit facility (undrawn).</w:t>
      </w:r>
    </w:p>
    <w:p w14:paraId="5C02CF2A" w14:textId="77777777" w:rsidR="00507F39" w:rsidRPr="00213B86" w:rsidRDefault="00507F39" w:rsidP="00507F39">
      <w:pPr>
        <w:pStyle w:val="NormalWeb"/>
        <w:rPr>
          <w:sz w:val="22"/>
          <w:szCs w:val="22"/>
        </w:rPr>
      </w:pPr>
      <w:r w:rsidRPr="00213B86">
        <w:rPr>
          <w:rStyle w:val="Strong"/>
          <w:rFonts w:eastAsiaTheme="majorEastAsia"/>
          <w:sz w:val="22"/>
          <w:szCs w:val="22"/>
        </w:rPr>
        <w:t>Operational Highlights</w:t>
      </w:r>
    </w:p>
    <w:p w14:paraId="72D25FBD" w14:textId="77777777" w:rsidR="00507F39" w:rsidRPr="00213B86" w:rsidRDefault="00507F39" w:rsidP="00127934">
      <w:pPr>
        <w:pStyle w:val="NormalWeb"/>
        <w:numPr>
          <w:ilvl w:val="0"/>
          <w:numId w:val="14"/>
        </w:numPr>
        <w:rPr>
          <w:sz w:val="22"/>
          <w:szCs w:val="22"/>
        </w:rPr>
      </w:pPr>
      <w:r w:rsidRPr="00213B86">
        <w:rPr>
          <w:rStyle w:val="Strong"/>
          <w:rFonts w:eastAsiaTheme="majorEastAsia"/>
          <w:sz w:val="22"/>
          <w:szCs w:val="22"/>
        </w:rPr>
        <w:t>150 commercial aircraft delivered</w:t>
      </w:r>
      <w:r w:rsidRPr="00213B86">
        <w:rPr>
          <w:sz w:val="22"/>
          <w:szCs w:val="22"/>
        </w:rPr>
        <w:t xml:space="preserve"> in Q2 (280 YTD), including:</w:t>
      </w:r>
    </w:p>
    <w:p w14:paraId="0BAFD292" w14:textId="77777777" w:rsidR="00507F39" w:rsidRPr="00213B86" w:rsidRDefault="00507F39" w:rsidP="00127934">
      <w:pPr>
        <w:pStyle w:val="NormalWeb"/>
        <w:numPr>
          <w:ilvl w:val="1"/>
          <w:numId w:val="14"/>
        </w:numPr>
        <w:rPr>
          <w:sz w:val="22"/>
          <w:szCs w:val="22"/>
        </w:rPr>
      </w:pPr>
      <w:r w:rsidRPr="00213B86">
        <w:rPr>
          <w:sz w:val="22"/>
          <w:szCs w:val="22"/>
        </w:rPr>
        <w:t>104 737 MAX aircraft</w:t>
      </w:r>
    </w:p>
    <w:p w14:paraId="732DD6B8" w14:textId="77777777" w:rsidR="00507F39" w:rsidRPr="00213B86" w:rsidRDefault="00507F39" w:rsidP="00127934">
      <w:pPr>
        <w:pStyle w:val="NormalWeb"/>
        <w:numPr>
          <w:ilvl w:val="1"/>
          <w:numId w:val="14"/>
        </w:numPr>
        <w:rPr>
          <w:sz w:val="22"/>
          <w:szCs w:val="22"/>
        </w:rPr>
      </w:pPr>
      <w:r w:rsidRPr="00213B86">
        <w:rPr>
          <w:sz w:val="22"/>
          <w:szCs w:val="22"/>
        </w:rPr>
        <w:t>24 787 Dreamliners</w:t>
      </w:r>
    </w:p>
    <w:p w14:paraId="40934D13" w14:textId="77777777" w:rsidR="00507F39" w:rsidRPr="00213B86" w:rsidRDefault="00507F39" w:rsidP="00127934">
      <w:pPr>
        <w:pStyle w:val="NormalWeb"/>
        <w:numPr>
          <w:ilvl w:val="1"/>
          <w:numId w:val="14"/>
        </w:numPr>
        <w:rPr>
          <w:sz w:val="22"/>
          <w:szCs w:val="22"/>
        </w:rPr>
      </w:pPr>
      <w:r w:rsidRPr="00213B86">
        <w:rPr>
          <w:sz w:val="22"/>
          <w:szCs w:val="22"/>
        </w:rPr>
        <w:t>13 777s</w:t>
      </w:r>
    </w:p>
    <w:p w14:paraId="6E00B208" w14:textId="77777777" w:rsidR="00507F39" w:rsidRPr="00213B86" w:rsidRDefault="00507F39" w:rsidP="00127934">
      <w:pPr>
        <w:pStyle w:val="NormalWeb"/>
        <w:numPr>
          <w:ilvl w:val="0"/>
          <w:numId w:val="14"/>
        </w:numPr>
        <w:rPr>
          <w:sz w:val="22"/>
          <w:szCs w:val="22"/>
        </w:rPr>
      </w:pPr>
      <w:r w:rsidRPr="00213B86">
        <w:rPr>
          <w:sz w:val="22"/>
          <w:szCs w:val="22"/>
        </w:rPr>
        <w:t xml:space="preserve">737 production rate reached </w:t>
      </w:r>
      <w:r w:rsidRPr="00213B86">
        <w:rPr>
          <w:rStyle w:val="Strong"/>
          <w:rFonts w:eastAsiaTheme="majorEastAsia"/>
          <w:sz w:val="22"/>
          <w:szCs w:val="22"/>
        </w:rPr>
        <w:t>38/month</w:t>
      </w:r>
      <w:r w:rsidRPr="00213B86">
        <w:rPr>
          <w:sz w:val="22"/>
          <w:szCs w:val="22"/>
        </w:rPr>
        <w:t xml:space="preserve"> in </w:t>
      </w:r>
      <w:proofErr w:type="gramStart"/>
      <w:r w:rsidRPr="00213B86">
        <w:rPr>
          <w:sz w:val="22"/>
          <w:szCs w:val="22"/>
        </w:rPr>
        <w:t>May;</w:t>
      </w:r>
      <w:proofErr w:type="gramEnd"/>
      <w:r w:rsidRPr="00213B86">
        <w:rPr>
          <w:sz w:val="22"/>
          <w:szCs w:val="22"/>
        </w:rPr>
        <w:t xml:space="preserve"> FAA approval pending to move to </w:t>
      </w:r>
      <w:r w:rsidRPr="00213B86">
        <w:rPr>
          <w:rStyle w:val="Strong"/>
          <w:rFonts w:eastAsiaTheme="majorEastAsia"/>
          <w:sz w:val="22"/>
          <w:szCs w:val="22"/>
        </w:rPr>
        <w:t>42/month</w:t>
      </w:r>
      <w:r w:rsidRPr="00213B86">
        <w:rPr>
          <w:sz w:val="22"/>
          <w:szCs w:val="22"/>
        </w:rPr>
        <w:t>, contingent on KPI stability.</w:t>
      </w:r>
    </w:p>
    <w:p w14:paraId="2BBADED5" w14:textId="77777777" w:rsidR="00507F39" w:rsidRPr="00213B86" w:rsidRDefault="00507F39" w:rsidP="00127934">
      <w:pPr>
        <w:pStyle w:val="NormalWeb"/>
        <w:numPr>
          <w:ilvl w:val="0"/>
          <w:numId w:val="14"/>
        </w:numPr>
        <w:rPr>
          <w:sz w:val="22"/>
          <w:szCs w:val="22"/>
        </w:rPr>
      </w:pPr>
      <w:r w:rsidRPr="00213B86">
        <w:rPr>
          <w:sz w:val="22"/>
          <w:szCs w:val="22"/>
        </w:rPr>
        <w:lastRenderedPageBreak/>
        <w:t xml:space="preserve">Operational KPIs (quality, traveled work, rework) are all trending positively — including a </w:t>
      </w:r>
      <w:r w:rsidRPr="00213B86">
        <w:rPr>
          <w:rStyle w:val="Strong"/>
          <w:rFonts w:eastAsiaTheme="majorEastAsia"/>
          <w:sz w:val="22"/>
          <w:szCs w:val="22"/>
        </w:rPr>
        <w:t>50% reduction in traveled work at roll-up</w:t>
      </w:r>
      <w:r w:rsidRPr="00213B86">
        <w:rPr>
          <w:sz w:val="22"/>
          <w:szCs w:val="22"/>
        </w:rPr>
        <w:t>.</w:t>
      </w:r>
    </w:p>
    <w:p w14:paraId="3B036A05" w14:textId="77777777" w:rsidR="00507F39" w:rsidRPr="00213B86" w:rsidRDefault="00507F39" w:rsidP="00127934">
      <w:pPr>
        <w:pStyle w:val="NormalWeb"/>
        <w:numPr>
          <w:ilvl w:val="0"/>
          <w:numId w:val="14"/>
        </w:numPr>
        <w:rPr>
          <w:sz w:val="22"/>
          <w:szCs w:val="22"/>
        </w:rPr>
      </w:pPr>
      <w:r w:rsidRPr="00213B86">
        <w:rPr>
          <w:sz w:val="22"/>
          <w:szCs w:val="22"/>
        </w:rPr>
        <w:t xml:space="preserve">787 program successfully ramped to </w:t>
      </w:r>
      <w:r w:rsidRPr="00213B86">
        <w:rPr>
          <w:rStyle w:val="Strong"/>
          <w:rFonts w:eastAsiaTheme="majorEastAsia"/>
          <w:sz w:val="22"/>
          <w:szCs w:val="22"/>
        </w:rPr>
        <w:t>7/month</w:t>
      </w:r>
      <w:r w:rsidRPr="00213B86">
        <w:rPr>
          <w:sz w:val="22"/>
          <w:szCs w:val="22"/>
        </w:rPr>
        <w:t>, post-Capstone review. Focus now shifts to stabilization and planning for further rate increases.</w:t>
      </w:r>
    </w:p>
    <w:p w14:paraId="0D071717" w14:textId="77777777" w:rsidR="00507F39" w:rsidRPr="00213B86" w:rsidRDefault="00507F39" w:rsidP="00127934">
      <w:pPr>
        <w:pStyle w:val="NormalWeb"/>
        <w:numPr>
          <w:ilvl w:val="0"/>
          <w:numId w:val="14"/>
        </w:numPr>
        <w:rPr>
          <w:sz w:val="22"/>
          <w:szCs w:val="22"/>
        </w:rPr>
      </w:pPr>
      <w:r w:rsidRPr="00213B86">
        <w:rPr>
          <w:sz w:val="22"/>
          <w:szCs w:val="22"/>
        </w:rPr>
        <w:t>Boeing completed rework on all pre-2023 787 inventory and expects delivery of the remaining aircraft to be split between 2025 and 2026.</w:t>
      </w:r>
    </w:p>
    <w:p w14:paraId="640D7597" w14:textId="77777777" w:rsidR="00507F39" w:rsidRPr="00213B86" w:rsidRDefault="00507F39" w:rsidP="00127934">
      <w:pPr>
        <w:pStyle w:val="NormalWeb"/>
        <w:numPr>
          <w:ilvl w:val="0"/>
          <w:numId w:val="14"/>
        </w:numPr>
        <w:rPr>
          <w:sz w:val="22"/>
          <w:szCs w:val="22"/>
        </w:rPr>
      </w:pPr>
      <w:r w:rsidRPr="00213B86">
        <w:rPr>
          <w:sz w:val="22"/>
          <w:szCs w:val="22"/>
        </w:rPr>
        <w:t xml:space="preserve">777X development continues, with over 4,000 flight hours logged. Certification </w:t>
      </w:r>
      <w:proofErr w:type="gramStart"/>
      <w:r w:rsidRPr="00213B86">
        <w:rPr>
          <w:sz w:val="22"/>
          <w:szCs w:val="22"/>
        </w:rPr>
        <w:t>still</w:t>
      </w:r>
      <w:proofErr w:type="gramEnd"/>
      <w:r w:rsidRPr="00213B86">
        <w:rPr>
          <w:sz w:val="22"/>
          <w:szCs w:val="22"/>
        </w:rPr>
        <w:t xml:space="preserve"> expected in 2026; first 777X-8 Freighter production underway.</w:t>
      </w:r>
    </w:p>
    <w:p w14:paraId="73651072" w14:textId="77777777" w:rsidR="00507F39" w:rsidRPr="00213B86" w:rsidRDefault="00507F39" w:rsidP="00507F39">
      <w:pPr>
        <w:pStyle w:val="NormalWeb"/>
        <w:rPr>
          <w:sz w:val="22"/>
          <w:szCs w:val="22"/>
        </w:rPr>
      </w:pPr>
      <w:r w:rsidRPr="00213B86">
        <w:rPr>
          <w:rStyle w:val="Strong"/>
          <w:rFonts w:eastAsiaTheme="majorEastAsia"/>
          <w:sz w:val="22"/>
          <w:szCs w:val="22"/>
        </w:rPr>
        <w:t>Business Expansions &amp; Capital Expenditure Plans</w:t>
      </w:r>
    </w:p>
    <w:p w14:paraId="0734E984" w14:textId="77777777" w:rsidR="00507F39" w:rsidRPr="00213B86" w:rsidRDefault="00507F39" w:rsidP="00127934">
      <w:pPr>
        <w:pStyle w:val="NormalWeb"/>
        <w:numPr>
          <w:ilvl w:val="0"/>
          <w:numId w:val="15"/>
        </w:numPr>
        <w:rPr>
          <w:sz w:val="22"/>
          <w:szCs w:val="22"/>
        </w:rPr>
      </w:pPr>
      <w:r w:rsidRPr="00213B86">
        <w:rPr>
          <w:sz w:val="22"/>
          <w:szCs w:val="22"/>
        </w:rPr>
        <w:t xml:space="preserve">Boeing is investing in </w:t>
      </w:r>
      <w:r w:rsidRPr="00213B86">
        <w:rPr>
          <w:rStyle w:val="Strong"/>
          <w:rFonts w:eastAsiaTheme="majorEastAsia"/>
          <w:sz w:val="22"/>
          <w:szCs w:val="22"/>
        </w:rPr>
        <w:t>production rate increases</w:t>
      </w:r>
      <w:r w:rsidRPr="00213B86">
        <w:rPr>
          <w:sz w:val="22"/>
          <w:szCs w:val="22"/>
        </w:rPr>
        <w:t xml:space="preserve"> across 737, 787, and 777 programs, including tooling upgrades and facility investments.</w:t>
      </w:r>
    </w:p>
    <w:p w14:paraId="13EF296C" w14:textId="77777777" w:rsidR="00507F39" w:rsidRPr="00213B86" w:rsidRDefault="00507F39" w:rsidP="00127934">
      <w:pPr>
        <w:pStyle w:val="NormalWeb"/>
        <w:numPr>
          <w:ilvl w:val="0"/>
          <w:numId w:val="15"/>
        </w:numPr>
        <w:rPr>
          <w:sz w:val="22"/>
          <w:szCs w:val="22"/>
        </w:rPr>
      </w:pPr>
      <w:r w:rsidRPr="00213B86">
        <w:rPr>
          <w:sz w:val="22"/>
          <w:szCs w:val="22"/>
        </w:rPr>
        <w:t>The integration of Spirit AeroSystems (fuselage supplier) is progressing; transaction expected to close later in 2025, improving quality and scheduling control.</w:t>
      </w:r>
    </w:p>
    <w:p w14:paraId="5914DE1D" w14:textId="77777777" w:rsidR="00507F39" w:rsidRPr="00213B86" w:rsidRDefault="00507F39" w:rsidP="00127934">
      <w:pPr>
        <w:pStyle w:val="NormalWeb"/>
        <w:numPr>
          <w:ilvl w:val="0"/>
          <w:numId w:val="15"/>
        </w:numPr>
        <w:rPr>
          <w:sz w:val="22"/>
          <w:szCs w:val="22"/>
        </w:rPr>
      </w:pPr>
      <w:r w:rsidRPr="00213B86">
        <w:rPr>
          <w:sz w:val="22"/>
          <w:szCs w:val="22"/>
        </w:rPr>
        <w:t xml:space="preserve">Boeing Defense continues capital investment in </w:t>
      </w:r>
      <w:r w:rsidRPr="00213B86">
        <w:rPr>
          <w:rStyle w:val="Strong"/>
          <w:rFonts w:eastAsiaTheme="majorEastAsia"/>
          <w:sz w:val="22"/>
          <w:szCs w:val="22"/>
        </w:rPr>
        <w:t>T-7A</w:t>
      </w:r>
      <w:r w:rsidRPr="00213B86">
        <w:rPr>
          <w:sz w:val="22"/>
          <w:szCs w:val="22"/>
        </w:rPr>
        <w:t xml:space="preserve"> and </w:t>
      </w:r>
      <w:r w:rsidRPr="00213B86">
        <w:rPr>
          <w:rStyle w:val="Strong"/>
          <w:rFonts w:eastAsiaTheme="majorEastAsia"/>
          <w:sz w:val="22"/>
          <w:szCs w:val="22"/>
        </w:rPr>
        <w:t>MQ-25</w:t>
      </w:r>
      <w:r w:rsidRPr="00213B86">
        <w:rPr>
          <w:sz w:val="22"/>
          <w:szCs w:val="22"/>
        </w:rPr>
        <w:t xml:space="preserve"> platforms, including ground testing, production moves, and milestone deliveries.</w:t>
      </w:r>
    </w:p>
    <w:p w14:paraId="1099DC20" w14:textId="77777777" w:rsidR="00507F39" w:rsidRPr="00213B86" w:rsidRDefault="00507F39" w:rsidP="00127934">
      <w:pPr>
        <w:pStyle w:val="NormalWeb"/>
        <w:numPr>
          <w:ilvl w:val="0"/>
          <w:numId w:val="15"/>
        </w:numPr>
        <w:rPr>
          <w:sz w:val="22"/>
          <w:szCs w:val="22"/>
        </w:rPr>
      </w:pPr>
      <w:r w:rsidRPr="00213B86">
        <w:rPr>
          <w:sz w:val="22"/>
          <w:szCs w:val="22"/>
        </w:rPr>
        <w:t xml:space="preserve">Major contract win: </w:t>
      </w:r>
      <w:r w:rsidRPr="00213B86">
        <w:rPr>
          <w:rStyle w:val="Strong"/>
          <w:rFonts w:eastAsiaTheme="majorEastAsia"/>
          <w:sz w:val="22"/>
          <w:szCs w:val="22"/>
        </w:rPr>
        <w:t>$2.8 billion U.S. Space Force award</w:t>
      </w:r>
      <w:r w:rsidRPr="00213B86">
        <w:rPr>
          <w:sz w:val="22"/>
          <w:szCs w:val="22"/>
        </w:rPr>
        <w:t xml:space="preserve"> for nuclear command and control satellites — reaffirming Boeing’s strategic positioning in defense space.</w:t>
      </w:r>
    </w:p>
    <w:p w14:paraId="799E6614" w14:textId="77777777" w:rsidR="00507F39" w:rsidRPr="00213B86" w:rsidRDefault="00507F39" w:rsidP="00127934">
      <w:pPr>
        <w:pStyle w:val="NormalWeb"/>
        <w:numPr>
          <w:ilvl w:val="0"/>
          <w:numId w:val="15"/>
        </w:numPr>
        <w:rPr>
          <w:sz w:val="22"/>
          <w:szCs w:val="22"/>
        </w:rPr>
      </w:pPr>
      <w:r w:rsidRPr="00213B86">
        <w:rPr>
          <w:sz w:val="22"/>
          <w:szCs w:val="22"/>
        </w:rPr>
        <w:t>Investments continue in MRO, parts distribution, and training centers under Boeing Global Services (BGS), including expansion in Germany and Korea.</w:t>
      </w:r>
    </w:p>
    <w:p w14:paraId="56411FB0" w14:textId="77777777" w:rsidR="00507F39" w:rsidRPr="00213B86" w:rsidRDefault="00507F39" w:rsidP="00507F39">
      <w:pPr>
        <w:pStyle w:val="NormalWeb"/>
        <w:rPr>
          <w:sz w:val="22"/>
          <w:szCs w:val="22"/>
        </w:rPr>
      </w:pPr>
      <w:r w:rsidRPr="00213B86">
        <w:rPr>
          <w:rStyle w:val="Strong"/>
          <w:rFonts w:eastAsiaTheme="majorEastAsia"/>
          <w:sz w:val="22"/>
          <w:szCs w:val="22"/>
        </w:rPr>
        <w:t>Segment Performance &amp; Outlook</w:t>
      </w:r>
    </w:p>
    <w:p w14:paraId="1B698565" w14:textId="77777777" w:rsidR="00507F39" w:rsidRPr="00213B86" w:rsidRDefault="00507F39" w:rsidP="00127934">
      <w:pPr>
        <w:pStyle w:val="NormalWeb"/>
        <w:numPr>
          <w:ilvl w:val="0"/>
          <w:numId w:val="16"/>
        </w:numPr>
        <w:rPr>
          <w:sz w:val="22"/>
          <w:szCs w:val="22"/>
        </w:rPr>
      </w:pPr>
      <w:r w:rsidRPr="00213B86">
        <w:rPr>
          <w:rStyle w:val="Strong"/>
          <w:rFonts w:eastAsiaTheme="majorEastAsia"/>
          <w:sz w:val="22"/>
          <w:szCs w:val="22"/>
        </w:rPr>
        <w:t>Commercial Airplanes (BCA)</w:t>
      </w:r>
      <w:r w:rsidRPr="00213B86">
        <w:rPr>
          <w:sz w:val="22"/>
          <w:szCs w:val="22"/>
        </w:rPr>
        <w:t>:</w:t>
      </w:r>
    </w:p>
    <w:p w14:paraId="3A2F4118" w14:textId="77777777" w:rsidR="00507F39" w:rsidRPr="00213B86" w:rsidRDefault="00507F39" w:rsidP="00127934">
      <w:pPr>
        <w:pStyle w:val="NormalWeb"/>
        <w:numPr>
          <w:ilvl w:val="1"/>
          <w:numId w:val="16"/>
        </w:numPr>
        <w:rPr>
          <w:sz w:val="22"/>
          <w:szCs w:val="22"/>
        </w:rPr>
      </w:pPr>
      <w:r w:rsidRPr="00213B86">
        <w:rPr>
          <w:sz w:val="22"/>
          <w:szCs w:val="22"/>
        </w:rPr>
        <w:t xml:space="preserve">Revenue: </w:t>
      </w:r>
      <w:r w:rsidRPr="00213B86">
        <w:rPr>
          <w:rStyle w:val="Strong"/>
          <w:rFonts w:eastAsiaTheme="majorEastAsia"/>
          <w:sz w:val="22"/>
          <w:szCs w:val="22"/>
        </w:rPr>
        <w:t>$10.9 billion</w:t>
      </w:r>
      <w:r w:rsidRPr="00213B86">
        <w:rPr>
          <w:sz w:val="22"/>
          <w:szCs w:val="22"/>
        </w:rPr>
        <w:t xml:space="preserve">; Operating margin: </w:t>
      </w:r>
      <w:r w:rsidRPr="00213B86">
        <w:rPr>
          <w:rStyle w:val="Strong"/>
          <w:rFonts w:eastAsiaTheme="majorEastAsia"/>
          <w:sz w:val="22"/>
          <w:szCs w:val="22"/>
        </w:rPr>
        <w:t>-5.1%</w:t>
      </w:r>
    </w:p>
    <w:p w14:paraId="41E1018C" w14:textId="77777777" w:rsidR="00507F39" w:rsidRPr="00213B86" w:rsidRDefault="00507F39" w:rsidP="00127934">
      <w:pPr>
        <w:pStyle w:val="NormalWeb"/>
        <w:numPr>
          <w:ilvl w:val="1"/>
          <w:numId w:val="16"/>
        </w:numPr>
        <w:rPr>
          <w:sz w:val="22"/>
          <w:szCs w:val="22"/>
        </w:rPr>
      </w:pPr>
      <w:r w:rsidRPr="00213B86">
        <w:rPr>
          <w:sz w:val="22"/>
          <w:szCs w:val="22"/>
        </w:rPr>
        <w:t>455 net orders booked in Q2, including 120 787s (Qatar Airways) and 32 787-10s (British Airways)</w:t>
      </w:r>
    </w:p>
    <w:p w14:paraId="70052ACD" w14:textId="77777777" w:rsidR="00507F39" w:rsidRPr="00213B86" w:rsidRDefault="00507F39" w:rsidP="00127934">
      <w:pPr>
        <w:pStyle w:val="NormalWeb"/>
        <w:numPr>
          <w:ilvl w:val="1"/>
          <w:numId w:val="16"/>
        </w:numPr>
        <w:rPr>
          <w:sz w:val="22"/>
          <w:szCs w:val="22"/>
        </w:rPr>
      </w:pPr>
      <w:r w:rsidRPr="00213B86">
        <w:rPr>
          <w:sz w:val="22"/>
          <w:szCs w:val="22"/>
        </w:rPr>
        <w:t xml:space="preserve">Backlog increased to </w:t>
      </w:r>
      <w:r w:rsidRPr="00213B86">
        <w:rPr>
          <w:rStyle w:val="Strong"/>
          <w:rFonts w:eastAsiaTheme="majorEastAsia"/>
          <w:sz w:val="22"/>
          <w:szCs w:val="22"/>
        </w:rPr>
        <w:t>$522 billion</w:t>
      </w:r>
      <w:r w:rsidRPr="00213B86">
        <w:rPr>
          <w:sz w:val="22"/>
          <w:szCs w:val="22"/>
        </w:rPr>
        <w:t xml:space="preserve"> (up $60B), with over </w:t>
      </w:r>
      <w:r w:rsidRPr="00213B86">
        <w:rPr>
          <w:rStyle w:val="Strong"/>
          <w:rFonts w:eastAsiaTheme="majorEastAsia"/>
          <w:sz w:val="22"/>
          <w:szCs w:val="22"/>
        </w:rPr>
        <w:t>5,900 aircraft</w:t>
      </w:r>
      <w:r w:rsidRPr="00213B86">
        <w:rPr>
          <w:sz w:val="22"/>
          <w:szCs w:val="22"/>
        </w:rPr>
        <w:t>, equivalent to 7+ years of production</w:t>
      </w:r>
    </w:p>
    <w:p w14:paraId="1147FD9A" w14:textId="77777777" w:rsidR="00507F39" w:rsidRPr="00213B86" w:rsidRDefault="00507F39" w:rsidP="00127934">
      <w:pPr>
        <w:pStyle w:val="NormalWeb"/>
        <w:numPr>
          <w:ilvl w:val="1"/>
          <w:numId w:val="16"/>
        </w:numPr>
        <w:rPr>
          <w:sz w:val="22"/>
          <w:szCs w:val="22"/>
        </w:rPr>
      </w:pPr>
      <w:r w:rsidRPr="00213B86">
        <w:rPr>
          <w:sz w:val="22"/>
          <w:szCs w:val="22"/>
        </w:rPr>
        <w:t>737 and 787 backlogs are both sold firm into the next decade</w:t>
      </w:r>
    </w:p>
    <w:p w14:paraId="11D8ABA1" w14:textId="77777777" w:rsidR="00507F39" w:rsidRPr="00213B86" w:rsidRDefault="00507F39" w:rsidP="00127934">
      <w:pPr>
        <w:pStyle w:val="NormalWeb"/>
        <w:numPr>
          <w:ilvl w:val="0"/>
          <w:numId w:val="16"/>
        </w:numPr>
        <w:rPr>
          <w:sz w:val="22"/>
          <w:szCs w:val="22"/>
        </w:rPr>
      </w:pPr>
      <w:r w:rsidRPr="00213B86">
        <w:rPr>
          <w:rStyle w:val="Strong"/>
          <w:rFonts w:eastAsiaTheme="majorEastAsia"/>
          <w:sz w:val="22"/>
          <w:szCs w:val="22"/>
        </w:rPr>
        <w:t>Defense, Space &amp; Security (BDS)</w:t>
      </w:r>
      <w:r w:rsidRPr="00213B86">
        <w:rPr>
          <w:sz w:val="22"/>
          <w:szCs w:val="22"/>
        </w:rPr>
        <w:t>:</w:t>
      </w:r>
    </w:p>
    <w:p w14:paraId="403CF92F" w14:textId="77777777" w:rsidR="00507F39" w:rsidRPr="00213B86" w:rsidRDefault="00507F39" w:rsidP="00127934">
      <w:pPr>
        <w:pStyle w:val="NormalWeb"/>
        <w:numPr>
          <w:ilvl w:val="1"/>
          <w:numId w:val="16"/>
        </w:numPr>
        <w:rPr>
          <w:sz w:val="22"/>
          <w:szCs w:val="22"/>
        </w:rPr>
      </w:pPr>
      <w:r w:rsidRPr="00213B86">
        <w:rPr>
          <w:sz w:val="22"/>
          <w:szCs w:val="22"/>
        </w:rPr>
        <w:t xml:space="preserve">Revenue: </w:t>
      </w:r>
      <w:r w:rsidRPr="00213B86">
        <w:rPr>
          <w:rStyle w:val="Strong"/>
          <w:rFonts w:eastAsiaTheme="majorEastAsia"/>
          <w:sz w:val="22"/>
          <w:szCs w:val="22"/>
        </w:rPr>
        <w:t>$6.6 billion</w:t>
      </w:r>
      <w:r w:rsidRPr="00213B86">
        <w:rPr>
          <w:sz w:val="22"/>
          <w:szCs w:val="22"/>
        </w:rPr>
        <w:t xml:space="preserve"> (+10% YoY); Operating margin: </w:t>
      </w:r>
      <w:r w:rsidRPr="00213B86">
        <w:rPr>
          <w:rStyle w:val="Strong"/>
          <w:rFonts w:eastAsiaTheme="majorEastAsia"/>
          <w:sz w:val="22"/>
          <w:szCs w:val="22"/>
        </w:rPr>
        <w:t>1.7%</w:t>
      </w:r>
    </w:p>
    <w:p w14:paraId="7E3054AA" w14:textId="77777777" w:rsidR="00507F39" w:rsidRPr="00213B86" w:rsidRDefault="00507F39" w:rsidP="00127934">
      <w:pPr>
        <w:pStyle w:val="NormalWeb"/>
        <w:numPr>
          <w:ilvl w:val="1"/>
          <w:numId w:val="16"/>
        </w:numPr>
        <w:rPr>
          <w:sz w:val="22"/>
          <w:szCs w:val="22"/>
        </w:rPr>
      </w:pPr>
      <w:r w:rsidRPr="00213B86">
        <w:rPr>
          <w:sz w:val="22"/>
          <w:szCs w:val="22"/>
        </w:rPr>
        <w:t>Delivered 34 military aircraft and 2 satellites</w:t>
      </w:r>
    </w:p>
    <w:p w14:paraId="1F2D00BC" w14:textId="77777777" w:rsidR="00507F39" w:rsidRPr="00213B86" w:rsidRDefault="00507F39" w:rsidP="00127934">
      <w:pPr>
        <w:pStyle w:val="NormalWeb"/>
        <w:numPr>
          <w:ilvl w:val="1"/>
          <w:numId w:val="16"/>
        </w:numPr>
        <w:rPr>
          <w:sz w:val="22"/>
          <w:szCs w:val="22"/>
        </w:rPr>
      </w:pPr>
      <w:r w:rsidRPr="00213B86">
        <w:rPr>
          <w:sz w:val="22"/>
          <w:szCs w:val="22"/>
        </w:rPr>
        <w:t>Progress on fixed-price development programs: MQ-25 entered ground testing; T-7A hit three new customer milestones</w:t>
      </w:r>
    </w:p>
    <w:p w14:paraId="1C81F342" w14:textId="77777777" w:rsidR="00507F39" w:rsidRPr="00213B86" w:rsidRDefault="00507F39" w:rsidP="00127934">
      <w:pPr>
        <w:pStyle w:val="NormalWeb"/>
        <w:numPr>
          <w:ilvl w:val="1"/>
          <w:numId w:val="16"/>
        </w:numPr>
        <w:rPr>
          <w:sz w:val="22"/>
          <w:szCs w:val="22"/>
        </w:rPr>
      </w:pPr>
      <w:r w:rsidRPr="00213B86">
        <w:rPr>
          <w:sz w:val="22"/>
          <w:szCs w:val="22"/>
        </w:rPr>
        <w:t xml:space="preserve">$19 billion in orders booked; backlog now at </w:t>
      </w:r>
      <w:r w:rsidRPr="00213B86">
        <w:rPr>
          <w:rStyle w:val="Strong"/>
          <w:rFonts w:eastAsiaTheme="majorEastAsia"/>
          <w:sz w:val="22"/>
          <w:szCs w:val="22"/>
        </w:rPr>
        <w:t>$74 billion</w:t>
      </w:r>
    </w:p>
    <w:p w14:paraId="405DDEFA" w14:textId="77777777" w:rsidR="00507F39" w:rsidRPr="00213B86" w:rsidRDefault="00507F39" w:rsidP="00127934">
      <w:pPr>
        <w:pStyle w:val="NormalWeb"/>
        <w:numPr>
          <w:ilvl w:val="1"/>
          <w:numId w:val="16"/>
        </w:numPr>
        <w:rPr>
          <w:sz w:val="22"/>
          <w:szCs w:val="22"/>
        </w:rPr>
      </w:pPr>
      <w:r w:rsidRPr="00213B86">
        <w:rPr>
          <w:sz w:val="22"/>
          <w:szCs w:val="22"/>
        </w:rPr>
        <w:t>Huntsville, AL supports work in missile defense, proprietary programs, and national security space — critical to segment stability and future wins</w:t>
      </w:r>
    </w:p>
    <w:p w14:paraId="6C3FF8E8" w14:textId="77777777" w:rsidR="00507F39" w:rsidRPr="00213B86" w:rsidRDefault="00507F39" w:rsidP="00127934">
      <w:pPr>
        <w:pStyle w:val="NormalWeb"/>
        <w:numPr>
          <w:ilvl w:val="0"/>
          <w:numId w:val="16"/>
        </w:numPr>
        <w:rPr>
          <w:sz w:val="22"/>
          <w:szCs w:val="22"/>
        </w:rPr>
      </w:pPr>
      <w:r w:rsidRPr="00213B86">
        <w:rPr>
          <w:rStyle w:val="Strong"/>
          <w:rFonts w:eastAsiaTheme="majorEastAsia"/>
          <w:sz w:val="22"/>
          <w:szCs w:val="22"/>
        </w:rPr>
        <w:t>Global Services (BGS)</w:t>
      </w:r>
      <w:r w:rsidRPr="00213B86">
        <w:rPr>
          <w:sz w:val="22"/>
          <w:szCs w:val="22"/>
        </w:rPr>
        <w:t>:</w:t>
      </w:r>
    </w:p>
    <w:p w14:paraId="6D3CBF2F" w14:textId="77777777" w:rsidR="00507F39" w:rsidRPr="00213B86" w:rsidRDefault="00507F39" w:rsidP="00127934">
      <w:pPr>
        <w:pStyle w:val="NormalWeb"/>
        <w:numPr>
          <w:ilvl w:val="1"/>
          <w:numId w:val="16"/>
        </w:numPr>
        <w:rPr>
          <w:sz w:val="22"/>
          <w:szCs w:val="22"/>
        </w:rPr>
      </w:pPr>
      <w:r w:rsidRPr="00213B86">
        <w:rPr>
          <w:sz w:val="22"/>
          <w:szCs w:val="22"/>
        </w:rPr>
        <w:t xml:space="preserve">Revenue: </w:t>
      </w:r>
      <w:r w:rsidRPr="00213B86">
        <w:rPr>
          <w:rStyle w:val="Strong"/>
          <w:rFonts w:eastAsiaTheme="majorEastAsia"/>
          <w:sz w:val="22"/>
          <w:szCs w:val="22"/>
        </w:rPr>
        <w:t>$5.3 billion</w:t>
      </w:r>
      <w:r w:rsidRPr="00213B86">
        <w:rPr>
          <w:sz w:val="22"/>
          <w:szCs w:val="22"/>
        </w:rPr>
        <w:t xml:space="preserve"> (+8% YoY); Operating margin: </w:t>
      </w:r>
      <w:r w:rsidRPr="00213B86">
        <w:rPr>
          <w:rStyle w:val="Strong"/>
          <w:rFonts w:eastAsiaTheme="majorEastAsia"/>
          <w:sz w:val="22"/>
          <w:szCs w:val="22"/>
        </w:rPr>
        <w:t>19.9%</w:t>
      </w:r>
    </w:p>
    <w:p w14:paraId="4E7F6549" w14:textId="77777777" w:rsidR="00507F39" w:rsidRPr="00213B86" w:rsidRDefault="00507F39" w:rsidP="00127934">
      <w:pPr>
        <w:pStyle w:val="NormalWeb"/>
        <w:numPr>
          <w:ilvl w:val="1"/>
          <w:numId w:val="16"/>
        </w:numPr>
        <w:rPr>
          <w:sz w:val="22"/>
          <w:szCs w:val="22"/>
        </w:rPr>
      </w:pPr>
      <w:r w:rsidRPr="00213B86">
        <w:rPr>
          <w:sz w:val="22"/>
          <w:szCs w:val="22"/>
        </w:rPr>
        <w:t xml:space="preserve">$5 billion in Q2 orders; backlog at </w:t>
      </w:r>
      <w:r w:rsidRPr="00213B86">
        <w:rPr>
          <w:rStyle w:val="Strong"/>
          <w:rFonts w:eastAsiaTheme="majorEastAsia"/>
          <w:sz w:val="22"/>
          <w:szCs w:val="22"/>
        </w:rPr>
        <w:t>$22 billion</w:t>
      </w:r>
    </w:p>
    <w:p w14:paraId="085D7B10" w14:textId="77777777" w:rsidR="00507F39" w:rsidRPr="00213B86" w:rsidRDefault="00507F39" w:rsidP="00127934">
      <w:pPr>
        <w:pStyle w:val="NormalWeb"/>
        <w:numPr>
          <w:ilvl w:val="1"/>
          <w:numId w:val="16"/>
        </w:numPr>
        <w:rPr>
          <w:sz w:val="22"/>
          <w:szCs w:val="22"/>
        </w:rPr>
      </w:pPr>
      <w:r w:rsidRPr="00213B86">
        <w:rPr>
          <w:sz w:val="22"/>
          <w:szCs w:val="22"/>
        </w:rPr>
        <w:t>Delivered first P-8 with enhanced anti-submarine warfare tech to U.S. Navy (Jacksonville, FL)</w:t>
      </w:r>
    </w:p>
    <w:p w14:paraId="0546CA9D" w14:textId="77777777" w:rsidR="00507F39" w:rsidRPr="00213B86" w:rsidRDefault="00507F39" w:rsidP="00127934">
      <w:pPr>
        <w:pStyle w:val="NormalWeb"/>
        <w:numPr>
          <w:ilvl w:val="1"/>
          <w:numId w:val="16"/>
        </w:numPr>
        <w:rPr>
          <w:sz w:val="22"/>
          <w:szCs w:val="22"/>
        </w:rPr>
      </w:pPr>
      <w:r w:rsidRPr="00213B86">
        <w:rPr>
          <w:sz w:val="22"/>
          <w:szCs w:val="22"/>
        </w:rPr>
        <w:t>Secured P-8A training contract with Republic of Korea Navy</w:t>
      </w:r>
    </w:p>
    <w:p w14:paraId="07D7AC8D" w14:textId="77777777" w:rsidR="00507F39" w:rsidRPr="00213B86" w:rsidRDefault="00507F39" w:rsidP="00127934">
      <w:pPr>
        <w:pStyle w:val="NormalWeb"/>
        <w:numPr>
          <w:ilvl w:val="1"/>
          <w:numId w:val="16"/>
        </w:numPr>
        <w:rPr>
          <w:sz w:val="22"/>
          <w:szCs w:val="22"/>
        </w:rPr>
      </w:pPr>
      <w:r w:rsidRPr="00213B86">
        <w:rPr>
          <w:sz w:val="22"/>
          <w:szCs w:val="22"/>
        </w:rPr>
        <w:t>Completed sale of Gatwick MRO facility; opened new distribution center in Germany</w:t>
      </w:r>
    </w:p>
    <w:p w14:paraId="78034395" w14:textId="77777777" w:rsidR="00507F39" w:rsidRPr="00213B86" w:rsidRDefault="00507F39" w:rsidP="00127934">
      <w:pPr>
        <w:pStyle w:val="NormalWeb"/>
        <w:numPr>
          <w:ilvl w:val="1"/>
          <w:numId w:val="16"/>
        </w:numPr>
        <w:rPr>
          <w:sz w:val="22"/>
          <w:szCs w:val="22"/>
        </w:rPr>
      </w:pPr>
      <w:r w:rsidRPr="00213B86">
        <w:rPr>
          <w:sz w:val="22"/>
          <w:szCs w:val="22"/>
        </w:rPr>
        <w:t>Continued investment in long-term, high-margin aftermarket offerings — key to Boeing’s financial resilience</w:t>
      </w:r>
    </w:p>
    <w:p w14:paraId="3044AB55" w14:textId="77777777" w:rsidR="00507F39" w:rsidRPr="00213B86" w:rsidRDefault="00507F39" w:rsidP="00127934">
      <w:pPr>
        <w:pStyle w:val="NormalWeb"/>
        <w:numPr>
          <w:ilvl w:val="0"/>
          <w:numId w:val="16"/>
        </w:numPr>
        <w:rPr>
          <w:sz w:val="22"/>
          <w:szCs w:val="22"/>
        </w:rPr>
      </w:pPr>
      <w:r w:rsidRPr="00213B86">
        <w:rPr>
          <w:rStyle w:val="Strong"/>
          <w:rFonts w:eastAsiaTheme="majorEastAsia"/>
          <w:sz w:val="22"/>
          <w:szCs w:val="22"/>
        </w:rPr>
        <w:t>Outlook</w:t>
      </w:r>
      <w:r w:rsidRPr="00213B86">
        <w:rPr>
          <w:sz w:val="22"/>
          <w:szCs w:val="22"/>
        </w:rPr>
        <w:t>:</w:t>
      </w:r>
    </w:p>
    <w:p w14:paraId="556DADA0" w14:textId="77777777" w:rsidR="00507F39" w:rsidRPr="00213B86" w:rsidRDefault="00507F39" w:rsidP="00127934">
      <w:pPr>
        <w:pStyle w:val="NormalWeb"/>
        <w:numPr>
          <w:ilvl w:val="1"/>
          <w:numId w:val="16"/>
        </w:numPr>
        <w:rPr>
          <w:sz w:val="22"/>
          <w:szCs w:val="22"/>
        </w:rPr>
      </w:pPr>
      <w:r w:rsidRPr="00213B86">
        <w:rPr>
          <w:sz w:val="22"/>
          <w:szCs w:val="22"/>
        </w:rPr>
        <w:lastRenderedPageBreak/>
        <w:t>Boeing remains on track for commercial production increases, pending FAA approvals and supplier alignment</w:t>
      </w:r>
    </w:p>
    <w:p w14:paraId="6BAAB37B" w14:textId="77777777" w:rsidR="00507F39" w:rsidRPr="00213B86" w:rsidRDefault="00507F39" w:rsidP="00127934">
      <w:pPr>
        <w:pStyle w:val="NormalWeb"/>
        <w:numPr>
          <w:ilvl w:val="1"/>
          <w:numId w:val="16"/>
        </w:numPr>
        <w:rPr>
          <w:sz w:val="22"/>
          <w:szCs w:val="22"/>
        </w:rPr>
      </w:pPr>
      <w:r w:rsidRPr="00213B86">
        <w:rPr>
          <w:sz w:val="22"/>
          <w:szCs w:val="22"/>
        </w:rPr>
        <w:t>Global trade dynamics remain volatile but improving; recent tariff agreements (Japan, EU) reduce pressure on input costs</w:t>
      </w:r>
    </w:p>
    <w:p w14:paraId="0EB46628" w14:textId="77777777" w:rsidR="00507F39" w:rsidRPr="00213B86" w:rsidRDefault="00507F39" w:rsidP="00127934">
      <w:pPr>
        <w:pStyle w:val="NormalWeb"/>
        <w:numPr>
          <w:ilvl w:val="1"/>
          <w:numId w:val="16"/>
        </w:numPr>
        <w:rPr>
          <w:sz w:val="22"/>
          <w:szCs w:val="22"/>
        </w:rPr>
      </w:pPr>
      <w:r w:rsidRPr="00213B86">
        <w:rPr>
          <w:sz w:val="22"/>
          <w:szCs w:val="22"/>
        </w:rPr>
        <w:t xml:space="preserve">2025 expected to end with </w:t>
      </w:r>
      <w:r w:rsidRPr="00213B86">
        <w:rPr>
          <w:rStyle w:val="Strong"/>
          <w:rFonts w:eastAsiaTheme="majorEastAsia"/>
          <w:sz w:val="22"/>
          <w:szCs w:val="22"/>
        </w:rPr>
        <w:t>positive free cash flow</w:t>
      </w:r>
      <w:r w:rsidRPr="00213B86">
        <w:rPr>
          <w:sz w:val="22"/>
          <w:szCs w:val="22"/>
        </w:rPr>
        <w:t xml:space="preserve"> and momentum heading into 2026</w:t>
      </w:r>
    </w:p>
    <w:p w14:paraId="39BFB25F" w14:textId="77777777" w:rsidR="00507F39" w:rsidRPr="00213B86" w:rsidRDefault="00507F39" w:rsidP="00127934">
      <w:pPr>
        <w:pStyle w:val="NormalWeb"/>
        <w:numPr>
          <w:ilvl w:val="1"/>
          <w:numId w:val="16"/>
        </w:numPr>
        <w:rPr>
          <w:sz w:val="22"/>
          <w:szCs w:val="22"/>
        </w:rPr>
      </w:pPr>
      <w:r w:rsidRPr="00213B86">
        <w:rPr>
          <w:sz w:val="22"/>
          <w:szCs w:val="22"/>
        </w:rPr>
        <w:t xml:space="preserve">Long-term backlog of </w:t>
      </w:r>
      <w:r w:rsidRPr="00213B86">
        <w:rPr>
          <w:rStyle w:val="Strong"/>
          <w:rFonts w:eastAsiaTheme="majorEastAsia"/>
          <w:sz w:val="22"/>
          <w:szCs w:val="22"/>
        </w:rPr>
        <w:t>$600+ billion</w:t>
      </w:r>
      <w:r w:rsidRPr="00213B86">
        <w:rPr>
          <w:sz w:val="22"/>
          <w:szCs w:val="22"/>
        </w:rPr>
        <w:t xml:space="preserve"> across commercial and defense segments provides visibility for growth and investment</w:t>
      </w:r>
    </w:p>
    <w:p w14:paraId="7E56E953" w14:textId="2FD17C11"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2D048FDE" w14:textId="74C9ECDD"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2F952188" w14:textId="77777777" w:rsidR="00E263BE" w:rsidRPr="00E263BE" w:rsidRDefault="00E263BE" w:rsidP="00E263BE">
      <w:pPr>
        <w:ind w:left="360"/>
        <w:rPr>
          <w:rFonts w:ascii="Times New Roman" w:hAnsi="Times New Roman" w:cs="Times New Roman"/>
        </w:rPr>
      </w:pPr>
    </w:p>
    <w:p w14:paraId="35F5C492" w14:textId="77777777" w:rsidR="008B733A" w:rsidRPr="00BC0D8E" w:rsidRDefault="34354836" w:rsidP="008B733A">
      <w:pPr>
        <w:pStyle w:val="Heading2"/>
        <w:rPr>
          <w:rFonts w:cs="Times New Roman"/>
        </w:rPr>
      </w:pPr>
      <w:bookmarkStart w:id="20" w:name="_Toc147824649"/>
      <w:bookmarkStart w:id="21" w:name="_Toc212796737"/>
      <w:r w:rsidRPr="2535092B">
        <w:rPr>
          <w:rFonts w:cs="Times New Roman"/>
        </w:rPr>
        <w:t>Canfor Corp. (</w:t>
      </w:r>
      <w:proofErr w:type="gramStart"/>
      <w:r w:rsidRPr="2535092B">
        <w:rPr>
          <w:rFonts w:cs="Times New Roman"/>
        </w:rPr>
        <w:t>TSX:CFP</w:t>
      </w:r>
      <w:proofErr w:type="gramEnd"/>
      <w:r w:rsidRPr="2535092B">
        <w:rPr>
          <w:rFonts w:cs="Times New Roman"/>
        </w:rPr>
        <w:t>)</w:t>
      </w:r>
      <w:bookmarkEnd w:id="20"/>
      <w:bookmarkEnd w:id="21"/>
    </w:p>
    <w:p w14:paraId="3082EA75" w14:textId="6EBBB3C4" w:rsidR="008B733A" w:rsidRPr="00BC0D8E" w:rsidRDefault="02FFA956" w:rsidP="008B733A">
      <w:pPr>
        <w:pStyle w:val="Heading3"/>
        <w:rPr>
          <w:rFonts w:cs="Times New Roman"/>
        </w:rPr>
      </w:pPr>
      <w:bookmarkStart w:id="22" w:name="_Toc147824650"/>
      <w:bookmarkStart w:id="23" w:name="_Toc212796738"/>
      <w:r w:rsidRPr="2EEB26EF">
        <w:rPr>
          <w:rFonts w:cs="Times New Roman"/>
        </w:rPr>
        <w:t>Outlook:</w:t>
      </w:r>
      <w:r w:rsidR="7C86554E" w:rsidRPr="2EEB26EF">
        <w:rPr>
          <w:rFonts w:cs="Times New Roman"/>
        </w:rPr>
        <w:t xml:space="preserve"> </w:t>
      </w:r>
      <w:bookmarkEnd w:id="22"/>
      <w:r w:rsidR="00714F8F">
        <w:rPr>
          <w:rFonts w:cs="Times New Roman"/>
        </w:rPr>
        <w:t>Neutral</w:t>
      </w:r>
      <w:bookmarkEnd w:id="23"/>
    </w:p>
    <w:p w14:paraId="2969670B" w14:textId="08D3503A" w:rsidR="008B733A" w:rsidRPr="00BC0D8E" w:rsidRDefault="02FFA956" w:rsidP="3CA273EB">
      <w:pPr>
        <w:pStyle w:val="Heading3"/>
        <w:rPr>
          <w:rFonts w:cs="Times New Roman"/>
          <w:color w:val="00B050"/>
        </w:rPr>
      </w:pPr>
      <w:bookmarkStart w:id="24" w:name="_Toc147824651"/>
      <w:bookmarkStart w:id="25" w:name="_Toc212796739"/>
      <w:r w:rsidRPr="2EEB26EF">
        <w:rPr>
          <w:rFonts w:cs="Times New Roman"/>
        </w:rPr>
        <w:t>AL Outlook:</w:t>
      </w:r>
      <w:r w:rsidR="0A3F3A46" w:rsidRPr="2EEB26EF">
        <w:rPr>
          <w:rFonts w:cs="Times New Roman"/>
        </w:rPr>
        <w:t xml:space="preserve"> </w:t>
      </w:r>
      <w:bookmarkEnd w:id="24"/>
      <w:r w:rsidR="00714F8F" w:rsidRPr="00AF2939">
        <w:rPr>
          <w:rFonts w:cs="Times New Roman"/>
          <w:color w:val="00B050"/>
        </w:rPr>
        <w:t>Positive</w:t>
      </w:r>
      <w:bookmarkEnd w:id="25"/>
    </w:p>
    <w:p w14:paraId="4BA2D0FC" w14:textId="7E9D2A29" w:rsidR="008B733A" w:rsidRPr="00BC0D8E" w:rsidRDefault="02FFA956" w:rsidP="2535092B">
      <w:pPr>
        <w:rPr>
          <w:rFonts w:ascii="Times New Roman" w:eastAsia="Times New Roman" w:hAnsi="Times New Roman" w:cs="Times New Roman"/>
        </w:rPr>
      </w:pPr>
      <w:r w:rsidRPr="2EEB26EF">
        <w:rPr>
          <w:rFonts w:ascii="Times New Roman" w:hAnsi="Times New Roman" w:cs="Times New Roman"/>
          <w:b/>
          <w:bCs/>
        </w:rPr>
        <w:t>Recommended Action:</w:t>
      </w:r>
      <w:r w:rsidR="436A4661" w:rsidRPr="2EEB26EF">
        <w:rPr>
          <w:rFonts w:ascii="Times New Roman" w:hAnsi="Times New Roman" w:cs="Times New Roman"/>
          <w:b/>
          <w:bCs/>
        </w:rPr>
        <w:t xml:space="preserve"> </w:t>
      </w:r>
      <w:r w:rsidR="00A87F79" w:rsidRPr="00AF2939">
        <w:rPr>
          <w:rFonts w:ascii="Times New Roman" w:hAnsi="Times New Roman" w:cs="Times New Roman"/>
        </w:rPr>
        <w:t>Explore mill productivity enhancements in Canfor’s Alabama sawmills as they continue to benefit from high utilization rates and regional</w:t>
      </w:r>
      <w:r w:rsidR="00C67C4C">
        <w:rPr>
          <w:rFonts w:ascii="Times New Roman" w:hAnsi="Times New Roman" w:cs="Times New Roman"/>
        </w:rPr>
        <w:t xml:space="preserve"> construction</w:t>
      </w:r>
      <w:r w:rsidR="00A87F79" w:rsidRPr="00AF2939">
        <w:rPr>
          <w:rFonts w:ascii="Times New Roman" w:hAnsi="Times New Roman" w:cs="Times New Roman"/>
        </w:rPr>
        <w:t xml:space="preserve"> demand.</w:t>
      </w:r>
    </w:p>
    <w:p w14:paraId="28745664" w14:textId="56BA5D33" w:rsidR="00E263BE" w:rsidRDefault="7E76B620" w:rsidP="2535092B">
      <w:pPr>
        <w:spacing w:beforeAutospacing="1" w:afterAutospacing="1" w:line="240" w:lineRule="auto"/>
        <w:rPr>
          <w:rFonts w:ascii="Times New Roman" w:eastAsia="Times New Roman" w:hAnsi="Times New Roman" w:cs="Times New Roman"/>
          <w:color w:val="000000" w:themeColor="text1"/>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xml:space="preserve">: </w:t>
      </w:r>
    </w:p>
    <w:p w14:paraId="53E25323" w14:textId="77777777" w:rsidR="007D2D17" w:rsidRPr="007D2D17" w:rsidRDefault="007D2D17" w:rsidP="007D2D17">
      <w:p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Key Takeaways</w:t>
      </w:r>
    </w:p>
    <w:p w14:paraId="2C9C4EC4" w14:textId="77777777" w:rsidR="007D2D17" w:rsidRPr="007D2D17" w:rsidRDefault="007D2D17" w:rsidP="00127934">
      <w:pPr>
        <w:numPr>
          <w:ilvl w:val="0"/>
          <w:numId w:val="17"/>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Canfor reported a </w:t>
      </w:r>
      <w:r w:rsidRPr="007D2D17">
        <w:rPr>
          <w:rFonts w:ascii="Times New Roman" w:eastAsia="Times New Roman" w:hAnsi="Times New Roman" w:cs="Times New Roman"/>
          <w:b/>
          <w:bCs/>
          <w:color w:val="000000" w:themeColor="text1"/>
        </w:rPr>
        <w:t>challenging Q2 2025</w:t>
      </w:r>
      <w:r w:rsidRPr="007D2D17">
        <w:rPr>
          <w:rFonts w:ascii="Times New Roman" w:eastAsia="Times New Roman" w:hAnsi="Times New Roman" w:cs="Times New Roman"/>
          <w:color w:val="000000" w:themeColor="text1"/>
        </w:rPr>
        <w:t>, posting a net loss and reduced EBITDA amid continued pricing pressure and low lumber demand in core North American markets.</w:t>
      </w:r>
    </w:p>
    <w:p w14:paraId="03868202" w14:textId="77777777" w:rsidR="007D2D17" w:rsidRPr="007D2D17" w:rsidRDefault="007D2D17" w:rsidP="00127934">
      <w:pPr>
        <w:numPr>
          <w:ilvl w:val="0"/>
          <w:numId w:val="17"/>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Management emphasized its focus on </w:t>
      </w:r>
      <w:r w:rsidRPr="007D2D17">
        <w:rPr>
          <w:rFonts w:ascii="Times New Roman" w:eastAsia="Times New Roman" w:hAnsi="Times New Roman" w:cs="Times New Roman"/>
          <w:b/>
          <w:bCs/>
          <w:color w:val="000000" w:themeColor="text1"/>
        </w:rPr>
        <w:t>cost reductions</w:t>
      </w:r>
      <w:r w:rsidRPr="007D2D17">
        <w:rPr>
          <w:rFonts w:ascii="Times New Roman" w:eastAsia="Times New Roman" w:hAnsi="Times New Roman" w:cs="Times New Roman"/>
          <w:color w:val="000000" w:themeColor="text1"/>
        </w:rPr>
        <w:t>, optimizing global asset performance, and capital discipline to weather the market downturn.</w:t>
      </w:r>
    </w:p>
    <w:p w14:paraId="5A36412B" w14:textId="77777777" w:rsidR="007D2D17" w:rsidRPr="007D2D17" w:rsidRDefault="007D2D17" w:rsidP="00127934">
      <w:pPr>
        <w:numPr>
          <w:ilvl w:val="0"/>
          <w:numId w:val="17"/>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Several strategic closures were executed in high-cost regions (notably in the U.S. Southeast), while Swedish operations continued to stabilize post-acquisition.</w:t>
      </w:r>
    </w:p>
    <w:p w14:paraId="6E6F0288" w14:textId="77777777" w:rsidR="007D2D17" w:rsidRPr="007D2D17" w:rsidRDefault="007D2D17" w:rsidP="00127934">
      <w:pPr>
        <w:numPr>
          <w:ilvl w:val="0"/>
          <w:numId w:val="17"/>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Despite poor Canadian performance, the </w:t>
      </w:r>
      <w:r w:rsidRPr="007D2D17">
        <w:rPr>
          <w:rFonts w:ascii="Times New Roman" w:eastAsia="Times New Roman" w:hAnsi="Times New Roman" w:cs="Times New Roman"/>
          <w:b/>
          <w:bCs/>
          <w:color w:val="000000" w:themeColor="text1"/>
        </w:rPr>
        <w:t>U.S. South showed greater resilience</w:t>
      </w:r>
      <w:r w:rsidRPr="007D2D17">
        <w:rPr>
          <w:rFonts w:ascii="Times New Roman" w:eastAsia="Times New Roman" w:hAnsi="Times New Roman" w:cs="Times New Roman"/>
          <w:color w:val="000000" w:themeColor="text1"/>
        </w:rPr>
        <w:t>, supported by housing starts and industrial demand — likely benefiting Alabama sawmills.</w:t>
      </w:r>
    </w:p>
    <w:p w14:paraId="33C11B89" w14:textId="77777777" w:rsidR="007D2D17" w:rsidRPr="007D2D17" w:rsidRDefault="007D2D17" w:rsidP="00127934">
      <w:pPr>
        <w:numPr>
          <w:ilvl w:val="0"/>
          <w:numId w:val="17"/>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Capital spending remains concentrated on growth projects in Europe and productivity upgrades in North America; Alabama mills appear to be part of the company’s “core operating asset base.”</w:t>
      </w:r>
    </w:p>
    <w:p w14:paraId="124A21A0" w14:textId="77777777" w:rsidR="007D2D17" w:rsidRPr="007D2D17" w:rsidRDefault="007D2D17" w:rsidP="00127934">
      <w:pPr>
        <w:numPr>
          <w:ilvl w:val="0"/>
          <w:numId w:val="17"/>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The company is maintaining a conservative financial position, reducing debt and preserving liquidity while positioning for an eventual market recovery.</w:t>
      </w:r>
    </w:p>
    <w:p w14:paraId="40F8BC36" w14:textId="77777777" w:rsidR="007D2D17" w:rsidRPr="007D2D17" w:rsidRDefault="007D2D17" w:rsidP="007D2D17">
      <w:p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Financial Highlights</w:t>
      </w:r>
    </w:p>
    <w:p w14:paraId="2159293A" w14:textId="77777777" w:rsidR="007D2D17" w:rsidRPr="007D2D17" w:rsidRDefault="007D2D17" w:rsidP="00127934">
      <w:pPr>
        <w:numPr>
          <w:ilvl w:val="0"/>
          <w:numId w:val="18"/>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Q2 2025 revenue was </w:t>
      </w:r>
      <w:r w:rsidRPr="007D2D17">
        <w:rPr>
          <w:rFonts w:ascii="Times New Roman" w:eastAsia="Times New Roman" w:hAnsi="Times New Roman" w:cs="Times New Roman"/>
          <w:b/>
          <w:bCs/>
          <w:color w:val="000000" w:themeColor="text1"/>
        </w:rPr>
        <w:t>CAD 1.38 billion</w:t>
      </w:r>
      <w:r w:rsidRPr="007D2D17">
        <w:rPr>
          <w:rFonts w:ascii="Times New Roman" w:eastAsia="Times New Roman" w:hAnsi="Times New Roman" w:cs="Times New Roman"/>
          <w:color w:val="000000" w:themeColor="text1"/>
        </w:rPr>
        <w:t>, down approximately 12% YoY, reflecting weaker lumber pricing and reduced shipment volumes.</w:t>
      </w:r>
    </w:p>
    <w:p w14:paraId="748F6617" w14:textId="77777777" w:rsidR="007D2D17" w:rsidRPr="007D2D17" w:rsidRDefault="007D2D17" w:rsidP="00127934">
      <w:pPr>
        <w:numPr>
          <w:ilvl w:val="0"/>
          <w:numId w:val="18"/>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Reported net loss of </w:t>
      </w:r>
      <w:r w:rsidRPr="007D2D17">
        <w:rPr>
          <w:rFonts w:ascii="Times New Roman" w:eastAsia="Times New Roman" w:hAnsi="Times New Roman" w:cs="Times New Roman"/>
          <w:b/>
          <w:bCs/>
          <w:color w:val="000000" w:themeColor="text1"/>
        </w:rPr>
        <w:t>CAD 66 million</w:t>
      </w:r>
      <w:r w:rsidRPr="007D2D17">
        <w:rPr>
          <w:rFonts w:ascii="Times New Roman" w:eastAsia="Times New Roman" w:hAnsi="Times New Roman" w:cs="Times New Roman"/>
          <w:color w:val="000000" w:themeColor="text1"/>
        </w:rPr>
        <w:t xml:space="preserve"> (EPS: </w:t>
      </w:r>
      <w:r w:rsidRPr="007D2D17">
        <w:rPr>
          <w:rFonts w:ascii="Times New Roman" w:eastAsia="Times New Roman" w:hAnsi="Times New Roman" w:cs="Times New Roman"/>
          <w:b/>
          <w:bCs/>
          <w:color w:val="000000" w:themeColor="text1"/>
        </w:rPr>
        <w:t>-0.56</w:t>
      </w:r>
      <w:r w:rsidRPr="007D2D17">
        <w:rPr>
          <w:rFonts w:ascii="Times New Roman" w:eastAsia="Times New Roman" w:hAnsi="Times New Roman" w:cs="Times New Roman"/>
          <w:color w:val="000000" w:themeColor="text1"/>
        </w:rPr>
        <w:t>), compared to a profit of CAD 8 million in Q2 2024.</w:t>
      </w:r>
    </w:p>
    <w:p w14:paraId="3C4C8042" w14:textId="77777777" w:rsidR="007D2D17" w:rsidRPr="007D2D17" w:rsidRDefault="007D2D17" w:rsidP="00127934">
      <w:pPr>
        <w:numPr>
          <w:ilvl w:val="0"/>
          <w:numId w:val="18"/>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Consolidated Adjusted EBITDA:</w:t>
      </w:r>
    </w:p>
    <w:p w14:paraId="5DE14036" w14:textId="77777777" w:rsidR="007D2D17" w:rsidRPr="007D2D17" w:rsidRDefault="007D2D17" w:rsidP="00127934">
      <w:pPr>
        <w:numPr>
          <w:ilvl w:val="1"/>
          <w:numId w:val="18"/>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Lumber segment</w:t>
      </w:r>
      <w:r w:rsidRPr="007D2D17">
        <w:rPr>
          <w:rFonts w:ascii="Times New Roman" w:eastAsia="Times New Roman" w:hAnsi="Times New Roman" w:cs="Times New Roman"/>
          <w:color w:val="000000" w:themeColor="text1"/>
        </w:rPr>
        <w:t xml:space="preserve">: </w:t>
      </w:r>
      <w:r w:rsidRPr="007D2D17">
        <w:rPr>
          <w:rFonts w:ascii="Times New Roman" w:eastAsia="Times New Roman" w:hAnsi="Times New Roman" w:cs="Times New Roman"/>
          <w:b/>
          <w:bCs/>
          <w:color w:val="000000" w:themeColor="text1"/>
        </w:rPr>
        <w:t>CAD 62 million</w:t>
      </w:r>
      <w:r w:rsidRPr="007D2D17">
        <w:rPr>
          <w:rFonts w:ascii="Times New Roman" w:eastAsia="Times New Roman" w:hAnsi="Times New Roman" w:cs="Times New Roman"/>
          <w:color w:val="000000" w:themeColor="text1"/>
        </w:rPr>
        <w:t>, down from CAD 115 million YoY</w:t>
      </w:r>
    </w:p>
    <w:p w14:paraId="25694876" w14:textId="77777777" w:rsidR="007D2D17" w:rsidRPr="007D2D17" w:rsidRDefault="007D2D17" w:rsidP="00127934">
      <w:pPr>
        <w:numPr>
          <w:ilvl w:val="1"/>
          <w:numId w:val="18"/>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Pulp and paper segment</w:t>
      </w:r>
      <w:r w:rsidRPr="007D2D17">
        <w:rPr>
          <w:rFonts w:ascii="Times New Roman" w:eastAsia="Times New Roman" w:hAnsi="Times New Roman" w:cs="Times New Roman"/>
          <w:color w:val="000000" w:themeColor="text1"/>
        </w:rPr>
        <w:t xml:space="preserve">: </w:t>
      </w:r>
      <w:r w:rsidRPr="007D2D17">
        <w:rPr>
          <w:rFonts w:ascii="Times New Roman" w:eastAsia="Times New Roman" w:hAnsi="Times New Roman" w:cs="Times New Roman"/>
          <w:b/>
          <w:bCs/>
          <w:color w:val="000000" w:themeColor="text1"/>
        </w:rPr>
        <w:t>CAD 6 million</w:t>
      </w:r>
      <w:r w:rsidRPr="007D2D17">
        <w:rPr>
          <w:rFonts w:ascii="Times New Roman" w:eastAsia="Times New Roman" w:hAnsi="Times New Roman" w:cs="Times New Roman"/>
          <w:color w:val="000000" w:themeColor="text1"/>
        </w:rPr>
        <w:t>, up slightly YoY</w:t>
      </w:r>
    </w:p>
    <w:p w14:paraId="530D9F79" w14:textId="77777777" w:rsidR="007D2D17" w:rsidRPr="007D2D17" w:rsidRDefault="007D2D17" w:rsidP="00127934">
      <w:pPr>
        <w:numPr>
          <w:ilvl w:val="0"/>
          <w:numId w:val="18"/>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Operating cash flow remained positive but reduced; working capital was drawn down to support operations during the downturn.</w:t>
      </w:r>
    </w:p>
    <w:p w14:paraId="4CABBF2C" w14:textId="77777777" w:rsidR="007D2D17" w:rsidRPr="007D2D17" w:rsidRDefault="007D2D17" w:rsidP="00127934">
      <w:pPr>
        <w:numPr>
          <w:ilvl w:val="0"/>
          <w:numId w:val="18"/>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lastRenderedPageBreak/>
        <w:t xml:space="preserve">Liquidity remains strong at </w:t>
      </w:r>
      <w:r w:rsidRPr="007D2D17">
        <w:rPr>
          <w:rFonts w:ascii="Times New Roman" w:eastAsia="Times New Roman" w:hAnsi="Times New Roman" w:cs="Times New Roman"/>
          <w:b/>
          <w:bCs/>
          <w:color w:val="000000" w:themeColor="text1"/>
        </w:rPr>
        <w:t>~CAD 700 million</w:t>
      </w:r>
      <w:r w:rsidRPr="007D2D17">
        <w:rPr>
          <w:rFonts w:ascii="Times New Roman" w:eastAsia="Times New Roman" w:hAnsi="Times New Roman" w:cs="Times New Roman"/>
          <w:color w:val="000000" w:themeColor="text1"/>
        </w:rPr>
        <w:t>, including available credit; no changes to dividend policy (currently suspended).</w:t>
      </w:r>
    </w:p>
    <w:p w14:paraId="73D1C922" w14:textId="77777777" w:rsidR="007D2D17" w:rsidRPr="007D2D17" w:rsidRDefault="007D2D17" w:rsidP="007D2D17">
      <w:p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Operational Highlights</w:t>
      </w:r>
    </w:p>
    <w:p w14:paraId="521E0880" w14:textId="77777777" w:rsidR="007D2D17" w:rsidRPr="007D2D17" w:rsidRDefault="007D2D17" w:rsidP="00127934">
      <w:pPr>
        <w:numPr>
          <w:ilvl w:val="0"/>
          <w:numId w:val="19"/>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Reduced production across Canadian facilities</w:t>
      </w:r>
      <w:r w:rsidRPr="007D2D17">
        <w:rPr>
          <w:rFonts w:ascii="Times New Roman" w:eastAsia="Times New Roman" w:hAnsi="Times New Roman" w:cs="Times New Roman"/>
          <w:color w:val="000000" w:themeColor="text1"/>
        </w:rPr>
        <w:t xml:space="preserve"> due to weak pricing and log cost pressures; curtailed output at high-cost B.C. mills.</w:t>
      </w:r>
    </w:p>
    <w:p w14:paraId="6538E6BF" w14:textId="77777777" w:rsidR="007D2D17" w:rsidRPr="007D2D17" w:rsidRDefault="007D2D17" w:rsidP="00127934">
      <w:pPr>
        <w:numPr>
          <w:ilvl w:val="0"/>
          <w:numId w:val="19"/>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Announced </w:t>
      </w:r>
      <w:r w:rsidRPr="007D2D17">
        <w:rPr>
          <w:rFonts w:ascii="Times New Roman" w:eastAsia="Times New Roman" w:hAnsi="Times New Roman" w:cs="Times New Roman"/>
          <w:b/>
          <w:bCs/>
          <w:color w:val="000000" w:themeColor="text1"/>
        </w:rPr>
        <w:t>indefinite curtailment of a South Carolina mill</w:t>
      </w:r>
      <w:r w:rsidRPr="007D2D17">
        <w:rPr>
          <w:rFonts w:ascii="Times New Roman" w:eastAsia="Times New Roman" w:hAnsi="Times New Roman" w:cs="Times New Roman"/>
          <w:color w:val="000000" w:themeColor="text1"/>
        </w:rPr>
        <w:t>, citing poor cost competitiveness and sustained underperformance.</w:t>
      </w:r>
    </w:p>
    <w:p w14:paraId="52F91BD5" w14:textId="77777777" w:rsidR="007D2D17" w:rsidRPr="007D2D17" w:rsidRDefault="007D2D17" w:rsidP="00127934">
      <w:pPr>
        <w:numPr>
          <w:ilvl w:val="0"/>
          <w:numId w:val="19"/>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Swedish sawmills</w:t>
      </w:r>
      <w:r w:rsidRPr="007D2D17">
        <w:rPr>
          <w:rFonts w:ascii="Times New Roman" w:eastAsia="Times New Roman" w:hAnsi="Times New Roman" w:cs="Times New Roman"/>
          <w:color w:val="000000" w:themeColor="text1"/>
        </w:rPr>
        <w:t>, acquired in 2024, reported stable operations with improving margin contributions and high uptime.</w:t>
      </w:r>
    </w:p>
    <w:p w14:paraId="39AD8A2E" w14:textId="77777777" w:rsidR="007D2D17" w:rsidRPr="007D2D17" w:rsidRDefault="007D2D17" w:rsidP="00127934">
      <w:pPr>
        <w:numPr>
          <w:ilvl w:val="0"/>
          <w:numId w:val="19"/>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U.S. South facilities</w:t>
      </w:r>
      <w:r w:rsidRPr="007D2D17">
        <w:rPr>
          <w:rFonts w:ascii="Times New Roman" w:eastAsia="Times New Roman" w:hAnsi="Times New Roman" w:cs="Times New Roman"/>
          <w:color w:val="000000" w:themeColor="text1"/>
        </w:rPr>
        <w:t xml:space="preserve">, including those in </w:t>
      </w:r>
      <w:r w:rsidRPr="007D2D17">
        <w:rPr>
          <w:rFonts w:ascii="Times New Roman" w:eastAsia="Times New Roman" w:hAnsi="Times New Roman" w:cs="Times New Roman"/>
          <w:b/>
          <w:bCs/>
          <w:color w:val="000000" w:themeColor="text1"/>
        </w:rPr>
        <w:t>Alabama (Mobile, Fulton, Jackson)</w:t>
      </w:r>
      <w:r w:rsidRPr="007D2D17">
        <w:rPr>
          <w:rFonts w:ascii="Times New Roman" w:eastAsia="Times New Roman" w:hAnsi="Times New Roman" w:cs="Times New Roman"/>
          <w:color w:val="000000" w:themeColor="text1"/>
        </w:rPr>
        <w:t>, were highlighted as stable performers benefiting from better market access and logistics advantages.</w:t>
      </w:r>
    </w:p>
    <w:p w14:paraId="519ACB58" w14:textId="77777777" w:rsidR="007D2D17" w:rsidRPr="007D2D17" w:rsidRDefault="007D2D17" w:rsidP="00127934">
      <w:pPr>
        <w:numPr>
          <w:ilvl w:val="0"/>
          <w:numId w:val="19"/>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Increased sales of </w:t>
      </w:r>
      <w:r w:rsidRPr="007D2D17">
        <w:rPr>
          <w:rFonts w:ascii="Times New Roman" w:eastAsia="Times New Roman" w:hAnsi="Times New Roman" w:cs="Times New Roman"/>
          <w:b/>
          <w:bCs/>
          <w:color w:val="000000" w:themeColor="text1"/>
        </w:rPr>
        <w:t>value-</w:t>
      </w:r>
      <w:proofErr w:type="gramStart"/>
      <w:r w:rsidRPr="007D2D17">
        <w:rPr>
          <w:rFonts w:ascii="Times New Roman" w:eastAsia="Times New Roman" w:hAnsi="Times New Roman" w:cs="Times New Roman"/>
          <w:b/>
          <w:bCs/>
          <w:color w:val="000000" w:themeColor="text1"/>
        </w:rPr>
        <w:t>added and</w:t>
      </w:r>
      <w:proofErr w:type="gramEnd"/>
      <w:r w:rsidRPr="007D2D17">
        <w:rPr>
          <w:rFonts w:ascii="Times New Roman" w:eastAsia="Times New Roman" w:hAnsi="Times New Roman" w:cs="Times New Roman"/>
          <w:b/>
          <w:bCs/>
          <w:color w:val="000000" w:themeColor="text1"/>
        </w:rPr>
        <w:t xml:space="preserve"> specialty products</w:t>
      </w:r>
      <w:r w:rsidRPr="007D2D17">
        <w:rPr>
          <w:rFonts w:ascii="Times New Roman" w:eastAsia="Times New Roman" w:hAnsi="Times New Roman" w:cs="Times New Roman"/>
          <w:color w:val="000000" w:themeColor="text1"/>
        </w:rPr>
        <w:t xml:space="preserve"> helped offset part of the revenue loss from structural lumber decline.</w:t>
      </w:r>
    </w:p>
    <w:p w14:paraId="3A77D77F" w14:textId="77777777" w:rsidR="007D2D17" w:rsidRPr="007D2D17" w:rsidRDefault="007D2D17" w:rsidP="00127934">
      <w:pPr>
        <w:numPr>
          <w:ilvl w:val="0"/>
          <w:numId w:val="19"/>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Operational focus remains on improving mill uptime, reducing unscheduled downtime, and managing fiber supply volatility in Canada.</w:t>
      </w:r>
    </w:p>
    <w:p w14:paraId="2292E586" w14:textId="77777777" w:rsidR="007D2D17" w:rsidRPr="007D2D17" w:rsidRDefault="007D2D17" w:rsidP="007D2D17">
      <w:p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Business Expansions &amp; Capital Expenditure Plans</w:t>
      </w:r>
    </w:p>
    <w:p w14:paraId="787C1CF8" w14:textId="77777777" w:rsidR="007D2D17" w:rsidRPr="007D2D17" w:rsidRDefault="007D2D17" w:rsidP="00127934">
      <w:pPr>
        <w:numPr>
          <w:ilvl w:val="0"/>
          <w:numId w:val="20"/>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Total </w:t>
      </w:r>
      <w:proofErr w:type="spellStart"/>
      <w:r w:rsidRPr="007D2D17">
        <w:rPr>
          <w:rFonts w:ascii="Times New Roman" w:eastAsia="Times New Roman" w:hAnsi="Times New Roman" w:cs="Times New Roman"/>
          <w:color w:val="000000" w:themeColor="text1"/>
        </w:rPr>
        <w:t>CapEx</w:t>
      </w:r>
      <w:proofErr w:type="spellEnd"/>
      <w:r w:rsidRPr="007D2D17">
        <w:rPr>
          <w:rFonts w:ascii="Times New Roman" w:eastAsia="Times New Roman" w:hAnsi="Times New Roman" w:cs="Times New Roman"/>
          <w:color w:val="000000" w:themeColor="text1"/>
        </w:rPr>
        <w:t xml:space="preserve"> for 2025 is expected to be </w:t>
      </w:r>
      <w:r w:rsidRPr="007D2D17">
        <w:rPr>
          <w:rFonts w:ascii="Times New Roman" w:eastAsia="Times New Roman" w:hAnsi="Times New Roman" w:cs="Times New Roman"/>
          <w:b/>
          <w:bCs/>
          <w:color w:val="000000" w:themeColor="text1"/>
        </w:rPr>
        <w:t>~CAD 240 million</w:t>
      </w:r>
      <w:r w:rsidRPr="007D2D17">
        <w:rPr>
          <w:rFonts w:ascii="Times New Roman" w:eastAsia="Times New Roman" w:hAnsi="Times New Roman" w:cs="Times New Roman"/>
          <w:color w:val="000000" w:themeColor="text1"/>
        </w:rPr>
        <w:t>, with a majority allocated to:</w:t>
      </w:r>
    </w:p>
    <w:p w14:paraId="4C704763" w14:textId="77777777" w:rsidR="007D2D17" w:rsidRPr="007D2D17" w:rsidRDefault="007D2D17" w:rsidP="00127934">
      <w:pPr>
        <w:numPr>
          <w:ilvl w:val="1"/>
          <w:numId w:val="20"/>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Optimization projects in the </w:t>
      </w:r>
      <w:r w:rsidRPr="007D2D17">
        <w:rPr>
          <w:rFonts w:ascii="Times New Roman" w:eastAsia="Times New Roman" w:hAnsi="Times New Roman" w:cs="Times New Roman"/>
          <w:b/>
          <w:bCs/>
          <w:color w:val="000000" w:themeColor="text1"/>
        </w:rPr>
        <w:t>U.S. South</w:t>
      </w:r>
    </w:p>
    <w:p w14:paraId="0A6F6D05" w14:textId="77777777" w:rsidR="007D2D17" w:rsidRPr="007D2D17" w:rsidRDefault="007D2D17" w:rsidP="00127934">
      <w:pPr>
        <w:numPr>
          <w:ilvl w:val="1"/>
          <w:numId w:val="20"/>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Continued integration and modernization of </w:t>
      </w:r>
      <w:r w:rsidRPr="007D2D17">
        <w:rPr>
          <w:rFonts w:ascii="Times New Roman" w:eastAsia="Times New Roman" w:hAnsi="Times New Roman" w:cs="Times New Roman"/>
          <w:b/>
          <w:bCs/>
          <w:color w:val="000000" w:themeColor="text1"/>
        </w:rPr>
        <w:t>Swedish assets</w:t>
      </w:r>
    </w:p>
    <w:p w14:paraId="6FB61A4D" w14:textId="77777777" w:rsidR="007D2D17" w:rsidRPr="007D2D17" w:rsidRDefault="007D2D17" w:rsidP="00127934">
      <w:pPr>
        <w:numPr>
          <w:ilvl w:val="1"/>
          <w:numId w:val="20"/>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Upgrades to drying kilns, planer mills, and material handling systems</w:t>
      </w:r>
    </w:p>
    <w:p w14:paraId="381BF2BC" w14:textId="77777777" w:rsidR="007D2D17" w:rsidRPr="007D2D17" w:rsidRDefault="007D2D17" w:rsidP="00127934">
      <w:pPr>
        <w:numPr>
          <w:ilvl w:val="0"/>
          <w:numId w:val="20"/>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Canadian </w:t>
      </w:r>
      <w:proofErr w:type="spellStart"/>
      <w:r w:rsidRPr="007D2D17">
        <w:rPr>
          <w:rFonts w:ascii="Times New Roman" w:eastAsia="Times New Roman" w:hAnsi="Times New Roman" w:cs="Times New Roman"/>
          <w:color w:val="000000" w:themeColor="text1"/>
        </w:rPr>
        <w:t>CapEx</w:t>
      </w:r>
      <w:proofErr w:type="spellEnd"/>
      <w:r w:rsidRPr="007D2D17">
        <w:rPr>
          <w:rFonts w:ascii="Times New Roman" w:eastAsia="Times New Roman" w:hAnsi="Times New Roman" w:cs="Times New Roman"/>
          <w:color w:val="000000" w:themeColor="text1"/>
        </w:rPr>
        <w:t xml:space="preserve"> has been significantly reduced to preserve capital amid curtailments and regulatory constraints.</w:t>
      </w:r>
    </w:p>
    <w:p w14:paraId="233BEC64" w14:textId="77777777" w:rsidR="007D2D17" w:rsidRPr="007D2D17" w:rsidRDefault="007D2D17" w:rsidP="00127934">
      <w:pPr>
        <w:numPr>
          <w:ilvl w:val="0"/>
          <w:numId w:val="20"/>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Capital priorities include:</w:t>
      </w:r>
    </w:p>
    <w:p w14:paraId="4CE886DA" w14:textId="77777777" w:rsidR="007D2D17" w:rsidRPr="007D2D17" w:rsidRDefault="007D2D17" w:rsidP="00127934">
      <w:pPr>
        <w:numPr>
          <w:ilvl w:val="1"/>
          <w:numId w:val="20"/>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Maintaining productivity at core U.S. South sites (includes Alabama)</w:t>
      </w:r>
    </w:p>
    <w:p w14:paraId="0F8A40D3" w14:textId="77777777" w:rsidR="007D2D17" w:rsidRPr="007D2D17" w:rsidRDefault="007D2D17" w:rsidP="00127934">
      <w:pPr>
        <w:numPr>
          <w:ilvl w:val="1"/>
          <w:numId w:val="20"/>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Investing in digital manufacturing systems and automation</w:t>
      </w:r>
    </w:p>
    <w:p w14:paraId="45E59A25" w14:textId="77777777" w:rsidR="007D2D17" w:rsidRPr="007D2D17" w:rsidRDefault="007D2D17" w:rsidP="00127934">
      <w:pPr>
        <w:numPr>
          <w:ilvl w:val="1"/>
          <w:numId w:val="20"/>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Enhancing energy efficiency and carbon performance (particularly in EU mills)</w:t>
      </w:r>
    </w:p>
    <w:p w14:paraId="14575FD3" w14:textId="77777777" w:rsidR="007D2D17" w:rsidRPr="007D2D17" w:rsidRDefault="007D2D17" w:rsidP="00127934">
      <w:pPr>
        <w:numPr>
          <w:ilvl w:val="0"/>
          <w:numId w:val="20"/>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Evaluating long-term capacity consolidation in Western Canada; any new greenfield investments will be “highly selective and likely outside of Canada.”</w:t>
      </w:r>
    </w:p>
    <w:p w14:paraId="7703E815" w14:textId="77777777" w:rsidR="007D2D17" w:rsidRPr="007D2D17" w:rsidRDefault="007D2D17" w:rsidP="00127934">
      <w:pPr>
        <w:numPr>
          <w:ilvl w:val="0"/>
          <w:numId w:val="20"/>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Alabama sawmills are implicitly part of the company’s long-term North American asset base and may benefit from future </w:t>
      </w:r>
      <w:proofErr w:type="spellStart"/>
      <w:r w:rsidRPr="007D2D17">
        <w:rPr>
          <w:rFonts w:ascii="Times New Roman" w:eastAsia="Times New Roman" w:hAnsi="Times New Roman" w:cs="Times New Roman"/>
          <w:color w:val="000000" w:themeColor="text1"/>
        </w:rPr>
        <w:t>CapEx</w:t>
      </w:r>
      <w:proofErr w:type="spellEnd"/>
      <w:r w:rsidRPr="007D2D17">
        <w:rPr>
          <w:rFonts w:ascii="Times New Roman" w:eastAsia="Times New Roman" w:hAnsi="Times New Roman" w:cs="Times New Roman"/>
          <w:color w:val="000000" w:themeColor="text1"/>
        </w:rPr>
        <w:t xml:space="preserve"> if demand improves.</w:t>
      </w:r>
    </w:p>
    <w:p w14:paraId="6BEB63F0" w14:textId="77777777" w:rsidR="007D2D17" w:rsidRPr="007D2D17" w:rsidRDefault="007D2D17" w:rsidP="007D2D17">
      <w:p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Segment Performance &amp; Outlook</w:t>
      </w:r>
    </w:p>
    <w:p w14:paraId="4065E732" w14:textId="77777777" w:rsidR="007D2D17" w:rsidRPr="007D2D17" w:rsidRDefault="007D2D17" w:rsidP="00127934">
      <w:pPr>
        <w:numPr>
          <w:ilvl w:val="0"/>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Lumber segment</w:t>
      </w:r>
      <w:r w:rsidRPr="007D2D17">
        <w:rPr>
          <w:rFonts w:ascii="Times New Roman" w:eastAsia="Times New Roman" w:hAnsi="Times New Roman" w:cs="Times New Roman"/>
          <w:color w:val="000000" w:themeColor="text1"/>
        </w:rPr>
        <w:t>:</w:t>
      </w:r>
    </w:p>
    <w:p w14:paraId="2063507E" w14:textId="77777777" w:rsidR="007D2D17" w:rsidRPr="007D2D17" w:rsidRDefault="007D2D17" w:rsidP="00127934">
      <w:pPr>
        <w:numPr>
          <w:ilvl w:val="1"/>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Shipments were down 9% </w:t>
      </w:r>
      <w:proofErr w:type="gramStart"/>
      <w:r w:rsidRPr="007D2D17">
        <w:rPr>
          <w:rFonts w:ascii="Times New Roman" w:eastAsia="Times New Roman" w:hAnsi="Times New Roman" w:cs="Times New Roman"/>
          <w:color w:val="000000" w:themeColor="text1"/>
        </w:rPr>
        <w:t>YoY;</w:t>
      </w:r>
      <w:proofErr w:type="gramEnd"/>
      <w:r w:rsidRPr="007D2D17">
        <w:rPr>
          <w:rFonts w:ascii="Times New Roman" w:eastAsia="Times New Roman" w:hAnsi="Times New Roman" w:cs="Times New Roman"/>
          <w:color w:val="000000" w:themeColor="text1"/>
        </w:rPr>
        <w:t xml:space="preserve"> pricing down across almost all structural lumber categories</w:t>
      </w:r>
    </w:p>
    <w:p w14:paraId="1D13B7C2" w14:textId="77777777" w:rsidR="007D2D17" w:rsidRPr="007D2D17" w:rsidRDefault="007D2D17" w:rsidP="00127934">
      <w:pPr>
        <w:numPr>
          <w:ilvl w:val="1"/>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U.S. South operations remained </w:t>
      </w:r>
      <w:r w:rsidRPr="007D2D17">
        <w:rPr>
          <w:rFonts w:ascii="Times New Roman" w:eastAsia="Times New Roman" w:hAnsi="Times New Roman" w:cs="Times New Roman"/>
          <w:b/>
          <w:bCs/>
          <w:color w:val="000000" w:themeColor="text1"/>
        </w:rPr>
        <w:t>cost-competitive</w:t>
      </w:r>
      <w:r w:rsidRPr="007D2D17">
        <w:rPr>
          <w:rFonts w:ascii="Times New Roman" w:eastAsia="Times New Roman" w:hAnsi="Times New Roman" w:cs="Times New Roman"/>
          <w:color w:val="000000" w:themeColor="text1"/>
        </w:rPr>
        <w:t xml:space="preserve"> and ran at higher utilization levels than Canadian mills</w:t>
      </w:r>
    </w:p>
    <w:p w14:paraId="187D59FB" w14:textId="77777777" w:rsidR="007D2D17" w:rsidRPr="007D2D17" w:rsidRDefault="007D2D17" w:rsidP="00127934">
      <w:pPr>
        <w:numPr>
          <w:ilvl w:val="1"/>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Swings in European lumber prices and currencies had limited negative impact; Swedish mills still outperformed Canadian ones</w:t>
      </w:r>
    </w:p>
    <w:p w14:paraId="1BF1B71F" w14:textId="77777777" w:rsidR="007D2D17" w:rsidRPr="007D2D17" w:rsidRDefault="007D2D17" w:rsidP="00127934">
      <w:pPr>
        <w:numPr>
          <w:ilvl w:val="1"/>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Inventory management helped avoid major build-ups despite reduced demand</w:t>
      </w:r>
    </w:p>
    <w:p w14:paraId="230AD7EF" w14:textId="77777777" w:rsidR="007D2D17" w:rsidRPr="007D2D17" w:rsidRDefault="007D2D17" w:rsidP="00127934">
      <w:pPr>
        <w:numPr>
          <w:ilvl w:val="0"/>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Pulp and paper segment</w:t>
      </w:r>
      <w:r w:rsidRPr="007D2D17">
        <w:rPr>
          <w:rFonts w:ascii="Times New Roman" w:eastAsia="Times New Roman" w:hAnsi="Times New Roman" w:cs="Times New Roman"/>
          <w:color w:val="000000" w:themeColor="text1"/>
        </w:rPr>
        <w:t xml:space="preserve"> (minor share of revenue):</w:t>
      </w:r>
    </w:p>
    <w:p w14:paraId="720AC416" w14:textId="77777777" w:rsidR="007D2D17" w:rsidRPr="007D2D17" w:rsidRDefault="007D2D17" w:rsidP="00127934">
      <w:pPr>
        <w:numPr>
          <w:ilvl w:val="1"/>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Modest EBITDA gain driven by increased pulp shipments and slightly improved pricing</w:t>
      </w:r>
    </w:p>
    <w:p w14:paraId="22117F26" w14:textId="77777777" w:rsidR="007D2D17" w:rsidRPr="007D2D17" w:rsidRDefault="007D2D17" w:rsidP="00127934">
      <w:pPr>
        <w:numPr>
          <w:ilvl w:val="1"/>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Outlook remains weak due to global oversupply and slowing industrial demand in Asia</w:t>
      </w:r>
    </w:p>
    <w:p w14:paraId="144791B9" w14:textId="77777777" w:rsidR="007D2D17" w:rsidRPr="007D2D17" w:rsidRDefault="007D2D17" w:rsidP="00127934">
      <w:pPr>
        <w:numPr>
          <w:ilvl w:val="0"/>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b/>
          <w:bCs/>
          <w:color w:val="000000" w:themeColor="text1"/>
        </w:rPr>
        <w:t>Outlook</w:t>
      </w:r>
      <w:r w:rsidRPr="007D2D17">
        <w:rPr>
          <w:rFonts w:ascii="Times New Roman" w:eastAsia="Times New Roman" w:hAnsi="Times New Roman" w:cs="Times New Roman"/>
          <w:color w:val="000000" w:themeColor="text1"/>
        </w:rPr>
        <w:t>:</w:t>
      </w:r>
    </w:p>
    <w:p w14:paraId="18AE3389" w14:textId="77777777" w:rsidR="007D2D17" w:rsidRPr="007D2D17" w:rsidRDefault="007D2D17" w:rsidP="00127934">
      <w:pPr>
        <w:numPr>
          <w:ilvl w:val="1"/>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lastRenderedPageBreak/>
        <w:t xml:space="preserve">No major recovery in lumber markets is expected before </w:t>
      </w:r>
      <w:r w:rsidRPr="007D2D17">
        <w:rPr>
          <w:rFonts w:ascii="Times New Roman" w:eastAsia="Times New Roman" w:hAnsi="Times New Roman" w:cs="Times New Roman"/>
          <w:b/>
          <w:bCs/>
          <w:color w:val="000000" w:themeColor="text1"/>
        </w:rPr>
        <w:t>mid-2026</w:t>
      </w:r>
      <w:r w:rsidRPr="007D2D17">
        <w:rPr>
          <w:rFonts w:ascii="Times New Roman" w:eastAsia="Times New Roman" w:hAnsi="Times New Roman" w:cs="Times New Roman"/>
          <w:color w:val="000000" w:themeColor="text1"/>
        </w:rPr>
        <w:t>, though modest sequential improvement is forecast for H2 2025</w:t>
      </w:r>
    </w:p>
    <w:p w14:paraId="6DFBD3A0" w14:textId="77777777" w:rsidR="007D2D17" w:rsidRPr="007D2D17" w:rsidRDefault="007D2D17" w:rsidP="00127934">
      <w:pPr>
        <w:numPr>
          <w:ilvl w:val="1"/>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U.S. South assets (especially Alabama, Georgia, and Mississippi) are expected to </w:t>
      </w:r>
      <w:r w:rsidRPr="007D2D17">
        <w:rPr>
          <w:rFonts w:ascii="Times New Roman" w:eastAsia="Times New Roman" w:hAnsi="Times New Roman" w:cs="Times New Roman"/>
          <w:b/>
          <w:bCs/>
          <w:color w:val="000000" w:themeColor="text1"/>
        </w:rPr>
        <w:t>anchor performance</w:t>
      </w:r>
      <w:r w:rsidRPr="007D2D17">
        <w:rPr>
          <w:rFonts w:ascii="Times New Roman" w:eastAsia="Times New Roman" w:hAnsi="Times New Roman" w:cs="Times New Roman"/>
          <w:color w:val="000000" w:themeColor="text1"/>
        </w:rPr>
        <w:t xml:space="preserve"> due to regional housing activity and favorable logistics</w:t>
      </w:r>
    </w:p>
    <w:p w14:paraId="70F29E8D" w14:textId="77777777" w:rsidR="007D2D17" w:rsidRPr="007D2D17" w:rsidRDefault="007D2D17" w:rsidP="00127934">
      <w:pPr>
        <w:numPr>
          <w:ilvl w:val="1"/>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 xml:space="preserve">European operations to continue generating </w:t>
      </w:r>
      <w:r w:rsidRPr="007D2D17">
        <w:rPr>
          <w:rFonts w:ascii="Times New Roman" w:eastAsia="Times New Roman" w:hAnsi="Times New Roman" w:cs="Times New Roman"/>
          <w:b/>
          <w:bCs/>
          <w:color w:val="000000" w:themeColor="text1"/>
        </w:rPr>
        <w:t>positive cash flow</w:t>
      </w:r>
      <w:r w:rsidRPr="007D2D17">
        <w:rPr>
          <w:rFonts w:ascii="Times New Roman" w:eastAsia="Times New Roman" w:hAnsi="Times New Roman" w:cs="Times New Roman"/>
          <w:color w:val="000000" w:themeColor="text1"/>
        </w:rPr>
        <w:t>, offsetting North American volatility</w:t>
      </w:r>
    </w:p>
    <w:p w14:paraId="26B98A20" w14:textId="77777777" w:rsidR="007D2D17" w:rsidRPr="007D2D17" w:rsidRDefault="007D2D17" w:rsidP="00127934">
      <w:pPr>
        <w:numPr>
          <w:ilvl w:val="1"/>
          <w:numId w:val="21"/>
        </w:numPr>
        <w:spacing w:beforeAutospacing="1" w:afterAutospacing="1" w:line="240" w:lineRule="auto"/>
        <w:rPr>
          <w:rFonts w:ascii="Times New Roman" w:eastAsia="Times New Roman" w:hAnsi="Times New Roman" w:cs="Times New Roman"/>
          <w:color w:val="000000" w:themeColor="text1"/>
        </w:rPr>
      </w:pPr>
      <w:r w:rsidRPr="007D2D17">
        <w:rPr>
          <w:rFonts w:ascii="Times New Roman" w:eastAsia="Times New Roman" w:hAnsi="Times New Roman" w:cs="Times New Roman"/>
          <w:color w:val="000000" w:themeColor="text1"/>
        </w:rPr>
        <w:t>Canfor will continue to assess cost structure, optimize its global footprint, and maintain strategic optionality through a strong balance sheet</w:t>
      </w:r>
    </w:p>
    <w:p w14:paraId="06BE7022" w14:textId="77777777" w:rsidR="007D2D17" w:rsidRDefault="007D2D17" w:rsidP="2535092B">
      <w:pPr>
        <w:spacing w:beforeAutospacing="1" w:afterAutospacing="1" w:line="240" w:lineRule="auto"/>
        <w:rPr>
          <w:rFonts w:ascii="Times New Roman" w:eastAsia="Times New Roman" w:hAnsi="Times New Roman" w:cs="Times New Roman"/>
          <w:color w:val="000000" w:themeColor="text1"/>
        </w:rPr>
      </w:pPr>
    </w:p>
    <w:p w14:paraId="2E5AEFF4" w14:textId="6AB7543A"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46E4389E" w14:textId="0DFD743E" w:rsidR="008B733A" w:rsidRPr="00BC0D8E" w:rsidRDefault="02D8AC93" w:rsidP="2535092B">
      <w:pPr>
        <w:pStyle w:val="ListParagraph"/>
        <w:spacing w:beforeAutospacing="1" w:afterAutospacing="1" w:line="240" w:lineRule="auto"/>
        <w:rPr>
          <w:rFonts w:ascii="Times New Roman" w:hAnsi="Times New Roman" w:cs="Times New Roman"/>
        </w:rPr>
      </w:pPr>
      <w:r>
        <w:br/>
      </w:r>
    </w:p>
    <w:p w14:paraId="3C5CEBD3" w14:textId="77777777" w:rsidR="008B733A" w:rsidRPr="00BC0D8E" w:rsidRDefault="34354836" w:rsidP="008B733A">
      <w:pPr>
        <w:pStyle w:val="Heading2"/>
        <w:rPr>
          <w:rFonts w:cs="Times New Roman"/>
        </w:rPr>
      </w:pPr>
      <w:bookmarkStart w:id="26" w:name="_Toc147824652"/>
      <w:bookmarkStart w:id="27" w:name="_Toc212796740"/>
      <w:proofErr w:type="spellStart"/>
      <w:r w:rsidRPr="2535092B">
        <w:rPr>
          <w:rFonts w:cs="Times New Roman"/>
        </w:rPr>
        <w:t>Chemtrade</w:t>
      </w:r>
      <w:proofErr w:type="spellEnd"/>
      <w:r w:rsidRPr="2535092B">
        <w:rPr>
          <w:rFonts w:cs="Times New Roman"/>
        </w:rPr>
        <w:t xml:space="preserve"> Logistics Income Fund (TSX: CHE.UN)</w:t>
      </w:r>
      <w:bookmarkEnd w:id="26"/>
      <w:bookmarkEnd w:id="27"/>
      <w:r w:rsidRPr="2535092B">
        <w:rPr>
          <w:rFonts w:cs="Times New Roman"/>
        </w:rPr>
        <w:t xml:space="preserve"> </w:t>
      </w:r>
    </w:p>
    <w:p w14:paraId="53CFE31B" w14:textId="1F1F9850" w:rsidR="008B733A" w:rsidRPr="00BC0D8E" w:rsidRDefault="006E300D" w:rsidP="2535092B">
      <w:pPr>
        <w:pStyle w:val="Heading3"/>
        <w:rPr>
          <w:rFonts w:cs="Times New Roman"/>
          <w:color w:val="00B050"/>
        </w:rPr>
      </w:pPr>
      <w:bookmarkStart w:id="28" w:name="_Toc147824653"/>
      <w:bookmarkStart w:id="29" w:name="_Toc212796741"/>
      <w:r w:rsidRPr="35ADD9A1">
        <w:rPr>
          <w:rFonts w:cs="Times New Roman"/>
        </w:rPr>
        <w:t xml:space="preserve">Outlook: </w:t>
      </w:r>
      <w:bookmarkEnd w:id="28"/>
      <w:r w:rsidR="00714F8F">
        <w:rPr>
          <w:rFonts w:cs="Times New Roman"/>
        </w:rPr>
        <w:t>Neutral</w:t>
      </w:r>
      <w:bookmarkEnd w:id="29"/>
    </w:p>
    <w:p w14:paraId="69485A66" w14:textId="47995A9E" w:rsidR="008B733A" w:rsidRPr="00BC0D8E" w:rsidRDefault="006E300D" w:rsidP="2535092B">
      <w:pPr>
        <w:pStyle w:val="Heading3"/>
        <w:rPr>
          <w:rFonts w:cs="Times New Roman"/>
          <w:color w:val="00B050"/>
        </w:rPr>
      </w:pPr>
      <w:bookmarkStart w:id="30" w:name="_Toc147824654"/>
      <w:bookmarkStart w:id="31" w:name="_Toc212796742"/>
      <w:r w:rsidRPr="35ADD9A1">
        <w:rPr>
          <w:rFonts w:cs="Times New Roman"/>
        </w:rPr>
        <w:t xml:space="preserve">AL Outlook: </w:t>
      </w:r>
      <w:bookmarkEnd w:id="30"/>
      <w:r w:rsidR="00714F8F" w:rsidRPr="00AF2939">
        <w:rPr>
          <w:rFonts w:cs="Times New Roman"/>
          <w:color w:val="00B050"/>
        </w:rPr>
        <w:t>Positive</w:t>
      </w:r>
      <w:bookmarkEnd w:id="31"/>
    </w:p>
    <w:p w14:paraId="17C0E1DC" w14:textId="04C0071F" w:rsidR="008B733A" w:rsidRPr="00BC0D8E" w:rsidRDefault="006E300D" w:rsidP="008B733A">
      <w:pPr>
        <w:rPr>
          <w:rFonts w:ascii="Times New Roman" w:hAnsi="Times New Roman" w:cs="Times New Roman"/>
        </w:rPr>
      </w:pPr>
      <w:r w:rsidRPr="35ADD9A1">
        <w:rPr>
          <w:rFonts w:ascii="Times New Roman" w:hAnsi="Times New Roman" w:cs="Times New Roman"/>
          <w:b/>
          <w:bCs/>
        </w:rPr>
        <w:t>Recommended Action:</w:t>
      </w:r>
      <w:r w:rsidR="523D4578" w:rsidRPr="35ADD9A1">
        <w:rPr>
          <w:rFonts w:ascii="Times New Roman" w:hAnsi="Times New Roman" w:cs="Times New Roman"/>
          <w:b/>
          <w:bCs/>
        </w:rPr>
        <w:t xml:space="preserve"> </w:t>
      </w:r>
      <w:r w:rsidR="00C41A82" w:rsidRPr="00AF2939">
        <w:rPr>
          <w:rFonts w:ascii="Times New Roman" w:hAnsi="Times New Roman" w:cs="Times New Roman"/>
        </w:rPr>
        <w:t>Maintain close ties with Decatur plant leadership, as demand for water treatment chemicals remains robust and the facility may receive incremental reliability investments.</w:t>
      </w:r>
    </w:p>
    <w:p w14:paraId="386DB030" w14:textId="235D972F" w:rsidR="74BCABAA" w:rsidRPr="00E263BE" w:rsidRDefault="6E465F85" w:rsidP="74BCABAA">
      <w:pPr>
        <w:spacing w:beforeAutospacing="1" w:afterAutospacing="1" w:line="240" w:lineRule="auto"/>
        <w:rPr>
          <w:rFonts w:ascii="Times New Roman" w:eastAsia="Times New Roman" w:hAnsi="Times New Roman" w:cs="Times New Roman"/>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Decatur: Water chemical production plant</w:t>
      </w:r>
    </w:p>
    <w:p w14:paraId="573AE3E7" w14:textId="77777777" w:rsidR="00EC3096" w:rsidRPr="00EC3096" w:rsidRDefault="00EC3096" w:rsidP="00EC3096">
      <w:p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b/>
          <w:bCs/>
          <w:color w:val="000000" w:themeColor="text1"/>
        </w:rPr>
        <w:t>Key Takeaways</w:t>
      </w:r>
    </w:p>
    <w:p w14:paraId="0945EE29" w14:textId="77777777" w:rsidR="00EC3096" w:rsidRPr="00EC3096" w:rsidRDefault="00EC3096" w:rsidP="00127934">
      <w:pPr>
        <w:numPr>
          <w:ilvl w:val="0"/>
          <w:numId w:val="22"/>
        </w:numPr>
        <w:spacing w:beforeAutospacing="1" w:afterAutospacing="1" w:line="240" w:lineRule="auto"/>
        <w:rPr>
          <w:rFonts w:ascii="Times New Roman" w:eastAsia="Times New Roman" w:hAnsi="Times New Roman" w:cs="Times New Roman"/>
          <w:color w:val="000000" w:themeColor="text1"/>
        </w:rPr>
      </w:pPr>
      <w:proofErr w:type="spellStart"/>
      <w:r w:rsidRPr="00EC3096">
        <w:rPr>
          <w:rFonts w:ascii="Times New Roman" w:eastAsia="Times New Roman" w:hAnsi="Times New Roman" w:cs="Times New Roman"/>
          <w:color w:val="000000" w:themeColor="text1"/>
        </w:rPr>
        <w:t>Chemtrade</w:t>
      </w:r>
      <w:proofErr w:type="spellEnd"/>
      <w:r w:rsidRPr="00EC3096">
        <w:rPr>
          <w:rFonts w:ascii="Times New Roman" w:eastAsia="Times New Roman" w:hAnsi="Times New Roman" w:cs="Times New Roman"/>
          <w:color w:val="000000" w:themeColor="text1"/>
        </w:rPr>
        <w:t xml:space="preserve"> delivered a solid Q2 2025, marked by strong performance in </w:t>
      </w:r>
      <w:proofErr w:type="spellStart"/>
      <w:r w:rsidRPr="00EC3096">
        <w:rPr>
          <w:rFonts w:ascii="Times New Roman" w:eastAsia="Times New Roman" w:hAnsi="Times New Roman" w:cs="Times New Roman"/>
          <w:color w:val="000000" w:themeColor="text1"/>
        </w:rPr>
        <w:t>Electrochemicals</w:t>
      </w:r>
      <w:proofErr w:type="spellEnd"/>
      <w:r w:rsidRPr="00EC3096">
        <w:rPr>
          <w:rFonts w:ascii="Times New Roman" w:eastAsia="Times New Roman" w:hAnsi="Times New Roman" w:cs="Times New Roman"/>
          <w:color w:val="000000" w:themeColor="text1"/>
        </w:rPr>
        <w:t xml:space="preserve"> (EC) and stability in Sulphur &amp; Water Chemicals (SWC), despite some headwinds from sulfur pricing.</w:t>
      </w:r>
    </w:p>
    <w:p w14:paraId="5ACE5B2F" w14:textId="77777777" w:rsidR="00EC3096" w:rsidRPr="00EC3096" w:rsidRDefault="00EC3096" w:rsidP="00127934">
      <w:pPr>
        <w:numPr>
          <w:ilvl w:val="0"/>
          <w:numId w:val="22"/>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Management reaffirmed full-year guidance and emphasized the company’s growth strategy under its </w:t>
      </w:r>
      <w:r w:rsidRPr="00EC3096">
        <w:rPr>
          <w:rFonts w:ascii="Times New Roman" w:eastAsia="Times New Roman" w:hAnsi="Times New Roman" w:cs="Times New Roman"/>
          <w:b/>
          <w:bCs/>
          <w:color w:val="000000" w:themeColor="text1"/>
        </w:rPr>
        <w:t>Vision 2030 plan</w:t>
      </w:r>
      <w:r w:rsidRPr="00EC3096">
        <w:rPr>
          <w:rFonts w:ascii="Times New Roman" w:eastAsia="Times New Roman" w:hAnsi="Times New Roman" w:cs="Times New Roman"/>
          <w:color w:val="000000" w:themeColor="text1"/>
        </w:rPr>
        <w:t>, focused on expanding its presence in the U.S. water treatment and high-value chemical markets.</w:t>
      </w:r>
    </w:p>
    <w:p w14:paraId="398CEE12" w14:textId="77777777" w:rsidR="00EC3096" w:rsidRPr="00EC3096" w:rsidRDefault="00EC3096" w:rsidP="00127934">
      <w:pPr>
        <w:numPr>
          <w:ilvl w:val="0"/>
          <w:numId w:val="22"/>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The recently completed </w:t>
      </w:r>
      <w:proofErr w:type="spellStart"/>
      <w:r w:rsidRPr="00EC3096">
        <w:rPr>
          <w:rFonts w:ascii="Times New Roman" w:eastAsia="Times New Roman" w:hAnsi="Times New Roman" w:cs="Times New Roman"/>
          <w:b/>
          <w:bCs/>
          <w:color w:val="000000" w:themeColor="text1"/>
        </w:rPr>
        <w:t>Polytec</w:t>
      </w:r>
      <w:proofErr w:type="spellEnd"/>
      <w:r w:rsidRPr="00EC3096">
        <w:rPr>
          <w:rFonts w:ascii="Times New Roman" w:eastAsia="Times New Roman" w:hAnsi="Times New Roman" w:cs="Times New Roman"/>
          <w:b/>
          <w:bCs/>
          <w:color w:val="000000" w:themeColor="text1"/>
        </w:rPr>
        <w:t xml:space="preserve"> acquisition</w:t>
      </w:r>
      <w:r w:rsidRPr="00EC3096">
        <w:rPr>
          <w:rFonts w:ascii="Times New Roman" w:eastAsia="Times New Roman" w:hAnsi="Times New Roman" w:cs="Times New Roman"/>
          <w:color w:val="000000" w:themeColor="text1"/>
        </w:rPr>
        <w:t xml:space="preserve"> expands </w:t>
      </w:r>
      <w:proofErr w:type="spellStart"/>
      <w:r w:rsidRPr="00EC3096">
        <w:rPr>
          <w:rFonts w:ascii="Times New Roman" w:eastAsia="Times New Roman" w:hAnsi="Times New Roman" w:cs="Times New Roman"/>
          <w:color w:val="000000" w:themeColor="text1"/>
        </w:rPr>
        <w:t>Chemtrade’s</w:t>
      </w:r>
      <w:proofErr w:type="spellEnd"/>
      <w:r w:rsidRPr="00EC3096">
        <w:rPr>
          <w:rFonts w:ascii="Times New Roman" w:eastAsia="Times New Roman" w:hAnsi="Times New Roman" w:cs="Times New Roman"/>
          <w:color w:val="000000" w:themeColor="text1"/>
        </w:rPr>
        <w:t xml:space="preserve"> geographic reach in the Southeastern U.S., enhancing its position in municipal water treatment — a potential boost for </w:t>
      </w:r>
      <w:r w:rsidRPr="00EC3096">
        <w:rPr>
          <w:rFonts w:ascii="Times New Roman" w:eastAsia="Times New Roman" w:hAnsi="Times New Roman" w:cs="Times New Roman"/>
          <w:b/>
          <w:bCs/>
          <w:color w:val="000000" w:themeColor="text1"/>
        </w:rPr>
        <w:t>Decatur, Alabama</w:t>
      </w:r>
      <w:r w:rsidRPr="00EC3096">
        <w:rPr>
          <w:rFonts w:ascii="Times New Roman" w:eastAsia="Times New Roman" w:hAnsi="Times New Roman" w:cs="Times New Roman"/>
          <w:color w:val="000000" w:themeColor="text1"/>
        </w:rPr>
        <w:t xml:space="preserve"> operations.</w:t>
      </w:r>
    </w:p>
    <w:p w14:paraId="6E95F3C4" w14:textId="77777777" w:rsidR="00EC3096" w:rsidRPr="00EC3096" w:rsidRDefault="00EC3096" w:rsidP="00127934">
      <w:pPr>
        <w:numPr>
          <w:ilvl w:val="0"/>
          <w:numId w:val="22"/>
        </w:numPr>
        <w:spacing w:beforeAutospacing="1" w:afterAutospacing="1" w:line="240" w:lineRule="auto"/>
        <w:rPr>
          <w:rFonts w:ascii="Times New Roman" w:eastAsia="Times New Roman" w:hAnsi="Times New Roman" w:cs="Times New Roman"/>
          <w:color w:val="000000" w:themeColor="text1"/>
        </w:rPr>
      </w:pPr>
      <w:proofErr w:type="spellStart"/>
      <w:r w:rsidRPr="00EC3096">
        <w:rPr>
          <w:rFonts w:ascii="Times New Roman" w:eastAsia="Times New Roman" w:hAnsi="Times New Roman" w:cs="Times New Roman"/>
          <w:color w:val="000000" w:themeColor="text1"/>
        </w:rPr>
        <w:t>Chemtrade</w:t>
      </w:r>
      <w:proofErr w:type="spellEnd"/>
      <w:r w:rsidRPr="00EC3096">
        <w:rPr>
          <w:rFonts w:ascii="Times New Roman" w:eastAsia="Times New Roman" w:hAnsi="Times New Roman" w:cs="Times New Roman"/>
          <w:color w:val="000000" w:themeColor="text1"/>
        </w:rPr>
        <w:t xml:space="preserve"> </w:t>
      </w:r>
      <w:proofErr w:type="gramStart"/>
      <w:r w:rsidRPr="00EC3096">
        <w:rPr>
          <w:rFonts w:ascii="Times New Roman" w:eastAsia="Times New Roman" w:hAnsi="Times New Roman" w:cs="Times New Roman"/>
          <w:color w:val="000000" w:themeColor="text1"/>
        </w:rPr>
        <w:t>is continuing</w:t>
      </w:r>
      <w:proofErr w:type="gramEnd"/>
      <w:r w:rsidRPr="00EC3096">
        <w:rPr>
          <w:rFonts w:ascii="Times New Roman" w:eastAsia="Times New Roman" w:hAnsi="Times New Roman" w:cs="Times New Roman"/>
          <w:color w:val="000000" w:themeColor="text1"/>
        </w:rPr>
        <w:t xml:space="preserve"> to focus on margin optimization through pricing mechanisms, cost discipline, and targeted capital investment in high-return areas.</w:t>
      </w:r>
    </w:p>
    <w:p w14:paraId="09B58E22" w14:textId="77777777" w:rsidR="00EC3096" w:rsidRPr="00EC3096" w:rsidRDefault="00EC3096" w:rsidP="00127934">
      <w:pPr>
        <w:numPr>
          <w:ilvl w:val="0"/>
          <w:numId w:val="22"/>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Strong cash generation and balance sheet flexibility support ongoing growth capital projects, select M&amp;A opportunities, and a stable quarterly distribution.</w:t>
      </w:r>
    </w:p>
    <w:p w14:paraId="151A5F6F" w14:textId="77777777" w:rsidR="00EC3096" w:rsidRPr="00EC3096" w:rsidRDefault="00EC3096" w:rsidP="00127934">
      <w:pPr>
        <w:numPr>
          <w:ilvl w:val="0"/>
          <w:numId w:val="22"/>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The company’s long-term thesis remains built around essential, non-discretionary chemical products and steady end-market demand (municipal water, pulp &amp; paper, industrial).</w:t>
      </w:r>
    </w:p>
    <w:p w14:paraId="2FCBD7D4" w14:textId="77777777" w:rsidR="00EC3096" w:rsidRPr="00EC3096" w:rsidRDefault="00EC3096" w:rsidP="00EC3096">
      <w:p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b/>
          <w:bCs/>
          <w:color w:val="000000" w:themeColor="text1"/>
        </w:rPr>
        <w:t>Financial Highlights</w:t>
      </w:r>
    </w:p>
    <w:p w14:paraId="3A23A3D4" w14:textId="77777777" w:rsidR="00EC3096" w:rsidRPr="00EC3096" w:rsidRDefault="00EC3096" w:rsidP="00127934">
      <w:pPr>
        <w:numPr>
          <w:ilvl w:val="0"/>
          <w:numId w:val="23"/>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Revenue for Q2 2025 was </w:t>
      </w:r>
      <w:r w:rsidRPr="00EC3096">
        <w:rPr>
          <w:rFonts w:ascii="Times New Roman" w:eastAsia="Times New Roman" w:hAnsi="Times New Roman" w:cs="Times New Roman"/>
          <w:b/>
          <w:bCs/>
          <w:color w:val="000000" w:themeColor="text1"/>
        </w:rPr>
        <w:t>CAD 496.7 million</w:t>
      </w:r>
      <w:r w:rsidRPr="00EC3096">
        <w:rPr>
          <w:rFonts w:ascii="Times New Roman" w:eastAsia="Times New Roman" w:hAnsi="Times New Roman" w:cs="Times New Roman"/>
          <w:color w:val="000000" w:themeColor="text1"/>
        </w:rPr>
        <w:t xml:space="preserve">, an </w:t>
      </w:r>
      <w:r w:rsidRPr="00EC3096">
        <w:rPr>
          <w:rFonts w:ascii="Times New Roman" w:eastAsia="Times New Roman" w:hAnsi="Times New Roman" w:cs="Times New Roman"/>
          <w:b/>
          <w:bCs/>
          <w:color w:val="000000" w:themeColor="text1"/>
        </w:rPr>
        <w:t>11% YoY increase</w:t>
      </w:r>
      <w:r w:rsidRPr="00EC3096">
        <w:rPr>
          <w:rFonts w:ascii="Times New Roman" w:eastAsia="Times New Roman" w:hAnsi="Times New Roman" w:cs="Times New Roman"/>
          <w:color w:val="000000" w:themeColor="text1"/>
        </w:rPr>
        <w:t>, driven by stronger volumes in water chemicals and improved pricing in caustic soda.</w:t>
      </w:r>
    </w:p>
    <w:p w14:paraId="0450BE42" w14:textId="77777777" w:rsidR="00EC3096" w:rsidRPr="00EC3096" w:rsidRDefault="00EC3096" w:rsidP="00127934">
      <w:pPr>
        <w:numPr>
          <w:ilvl w:val="0"/>
          <w:numId w:val="23"/>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Net earnings were </w:t>
      </w:r>
      <w:r w:rsidRPr="00EC3096">
        <w:rPr>
          <w:rFonts w:ascii="Times New Roman" w:eastAsia="Times New Roman" w:hAnsi="Times New Roman" w:cs="Times New Roman"/>
          <w:b/>
          <w:bCs/>
          <w:color w:val="000000" w:themeColor="text1"/>
        </w:rPr>
        <w:t>CAD 11.5 million</w:t>
      </w:r>
      <w:r w:rsidRPr="00EC3096">
        <w:rPr>
          <w:rFonts w:ascii="Times New Roman" w:eastAsia="Times New Roman" w:hAnsi="Times New Roman" w:cs="Times New Roman"/>
          <w:color w:val="000000" w:themeColor="text1"/>
        </w:rPr>
        <w:t xml:space="preserve"> (EPS: </w:t>
      </w:r>
      <w:r w:rsidRPr="00EC3096">
        <w:rPr>
          <w:rFonts w:ascii="Times New Roman" w:eastAsia="Times New Roman" w:hAnsi="Times New Roman" w:cs="Times New Roman"/>
          <w:b/>
          <w:bCs/>
          <w:color w:val="000000" w:themeColor="text1"/>
        </w:rPr>
        <w:t>CAD 0.09</w:t>
      </w:r>
      <w:r w:rsidRPr="00EC3096">
        <w:rPr>
          <w:rFonts w:ascii="Times New Roman" w:eastAsia="Times New Roman" w:hAnsi="Times New Roman" w:cs="Times New Roman"/>
          <w:color w:val="000000" w:themeColor="text1"/>
        </w:rPr>
        <w:t>), below consensus of CAD 0.30, largely due to higher depreciation and FX impacts.</w:t>
      </w:r>
    </w:p>
    <w:p w14:paraId="289F8CF8" w14:textId="77777777" w:rsidR="00EC3096" w:rsidRPr="00EC3096" w:rsidRDefault="00EC3096" w:rsidP="00127934">
      <w:pPr>
        <w:numPr>
          <w:ilvl w:val="0"/>
          <w:numId w:val="23"/>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b/>
          <w:bCs/>
          <w:color w:val="000000" w:themeColor="text1"/>
        </w:rPr>
        <w:lastRenderedPageBreak/>
        <w:t>Distributable cash</w:t>
      </w:r>
      <w:r w:rsidRPr="00EC3096">
        <w:rPr>
          <w:rFonts w:ascii="Times New Roman" w:eastAsia="Times New Roman" w:hAnsi="Times New Roman" w:cs="Times New Roman"/>
          <w:color w:val="000000" w:themeColor="text1"/>
        </w:rPr>
        <w:t xml:space="preserve"> increased to </w:t>
      </w:r>
      <w:r w:rsidRPr="00EC3096">
        <w:rPr>
          <w:rFonts w:ascii="Times New Roman" w:eastAsia="Times New Roman" w:hAnsi="Times New Roman" w:cs="Times New Roman"/>
          <w:b/>
          <w:bCs/>
          <w:color w:val="000000" w:themeColor="text1"/>
        </w:rPr>
        <w:t>CAD 71.5 million</w:t>
      </w:r>
      <w:r w:rsidRPr="00EC3096">
        <w:rPr>
          <w:rFonts w:ascii="Times New Roman" w:eastAsia="Times New Roman" w:hAnsi="Times New Roman" w:cs="Times New Roman"/>
          <w:color w:val="000000" w:themeColor="text1"/>
        </w:rPr>
        <w:t xml:space="preserve">, up </w:t>
      </w:r>
      <w:r w:rsidRPr="00EC3096">
        <w:rPr>
          <w:rFonts w:ascii="Times New Roman" w:eastAsia="Times New Roman" w:hAnsi="Times New Roman" w:cs="Times New Roman"/>
          <w:b/>
          <w:bCs/>
          <w:color w:val="000000" w:themeColor="text1"/>
        </w:rPr>
        <w:t>50% YoY</w:t>
      </w:r>
      <w:r w:rsidRPr="00EC3096">
        <w:rPr>
          <w:rFonts w:ascii="Times New Roman" w:eastAsia="Times New Roman" w:hAnsi="Times New Roman" w:cs="Times New Roman"/>
          <w:color w:val="000000" w:themeColor="text1"/>
        </w:rPr>
        <w:t>, reflecting strong EC contribution and disciplined capital management.</w:t>
      </w:r>
    </w:p>
    <w:p w14:paraId="0BEFD945" w14:textId="77777777" w:rsidR="00EC3096" w:rsidRPr="00EC3096" w:rsidRDefault="00EC3096" w:rsidP="00127934">
      <w:pPr>
        <w:numPr>
          <w:ilvl w:val="0"/>
          <w:numId w:val="23"/>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Gross profit margin held steady at </w:t>
      </w:r>
      <w:r w:rsidRPr="00EC3096">
        <w:rPr>
          <w:rFonts w:ascii="Times New Roman" w:eastAsia="Times New Roman" w:hAnsi="Times New Roman" w:cs="Times New Roman"/>
          <w:b/>
          <w:bCs/>
          <w:color w:val="000000" w:themeColor="text1"/>
        </w:rPr>
        <w:t>19.2%</w:t>
      </w:r>
      <w:r w:rsidRPr="00EC3096">
        <w:rPr>
          <w:rFonts w:ascii="Times New Roman" w:eastAsia="Times New Roman" w:hAnsi="Times New Roman" w:cs="Times New Roman"/>
          <w:color w:val="000000" w:themeColor="text1"/>
        </w:rPr>
        <w:t>, as strong caustic pricing in EC offset weakness in sulfur derivatives within SWC.</w:t>
      </w:r>
    </w:p>
    <w:p w14:paraId="0B6ED102" w14:textId="77777777" w:rsidR="00EC3096" w:rsidRPr="00EC3096" w:rsidRDefault="00EC3096" w:rsidP="00127934">
      <w:pPr>
        <w:numPr>
          <w:ilvl w:val="0"/>
          <w:numId w:val="23"/>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Quarterly distribution of </w:t>
      </w:r>
      <w:r w:rsidRPr="00EC3096">
        <w:rPr>
          <w:rFonts w:ascii="Times New Roman" w:eastAsia="Times New Roman" w:hAnsi="Times New Roman" w:cs="Times New Roman"/>
          <w:b/>
          <w:bCs/>
          <w:color w:val="000000" w:themeColor="text1"/>
        </w:rPr>
        <w:t>CAD 0.05/unit</w:t>
      </w:r>
      <w:r w:rsidRPr="00EC3096">
        <w:rPr>
          <w:rFonts w:ascii="Times New Roman" w:eastAsia="Times New Roman" w:hAnsi="Times New Roman" w:cs="Times New Roman"/>
          <w:color w:val="000000" w:themeColor="text1"/>
        </w:rPr>
        <w:t xml:space="preserve"> maintained, with a conservative payout ratio of ~28% of distributable cash.</w:t>
      </w:r>
    </w:p>
    <w:p w14:paraId="35550242" w14:textId="77777777" w:rsidR="00EC3096" w:rsidRPr="00EC3096" w:rsidRDefault="00EC3096" w:rsidP="00127934">
      <w:pPr>
        <w:numPr>
          <w:ilvl w:val="0"/>
          <w:numId w:val="23"/>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Leverage ratio declined to </w:t>
      </w:r>
      <w:r w:rsidRPr="00EC3096">
        <w:rPr>
          <w:rFonts w:ascii="Times New Roman" w:eastAsia="Times New Roman" w:hAnsi="Times New Roman" w:cs="Times New Roman"/>
          <w:b/>
          <w:bCs/>
          <w:color w:val="000000" w:themeColor="text1"/>
        </w:rPr>
        <w:t>2.8x net debt-to-EBITDA</w:t>
      </w:r>
      <w:r w:rsidRPr="00EC3096">
        <w:rPr>
          <w:rFonts w:ascii="Times New Roman" w:eastAsia="Times New Roman" w:hAnsi="Times New Roman" w:cs="Times New Roman"/>
          <w:color w:val="000000" w:themeColor="text1"/>
        </w:rPr>
        <w:t>, providing room for further investment or bolt-on acquisitions.</w:t>
      </w:r>
    </w:p>
    <w:p w14:paraId="19447139" w14:textId="77777777" w:rsidR="00EC3096" w:rsidRPr="00EC3096" w:rsidRDefault="00EC3096" w:rsidP="00EC3096">
      <w:p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b/>
          <w:bCs/>
          <w:color w:val="000000" w:themeColor="text1"/>
        </w:rPr>
        <w:t>Operational Highlights</w:t>
      </w:r>
    </w:p>
    <w:p w14:paraId="71B869FA" w14:textId="77777777" w:rsidR="00EC3096" w:rsidRPr="00EC3096" w:rsidRDefault="00EC3096" w:rsidP="00127934">
      <w:pPr>
        <w:numPr>
          <w:ilvl w:val="0"/>
          <w:numId w:val="24"/>
        </w:numPr>
        <w:spacing w:beforeAutospacing="1" w:afterAutospacing="1" w:line="240" w:lineRule="auto"/>
        <w:rPr>
          <w:rFonts w:ascii="Times New Roman" w:eastAsia="Times New Roman" w:hAnsi="Times New Roman" w:cs="Times New Roman"/>
          <w:color w:val="000000" w:themeColor="text1"/>
        </w:rPr>
      </w:pPr>
      <w:proofErr w:type="spellStart"/>
      <w:r w:rsidRPr="00EC3096">
        <w:rPr>
          <w:rFonts w:ascii="Times New Roman" w:eastAsia="Times New Roman" w:hAnsi="Times New Roman" w:cs="Times New Roman"/>
          <w:b/>
          <w:bCs/>
          <w:color w:val="000000" w:themeColor="text1"/>
        </w:rPr>
        <w:t>Electrochemicals</w:t>
      </w:r>
      <w:proofErr w:type="spellEnd"/>
      <w:r w:rsidRPr="00EC3096">
        <w:rPr>
          <w:rFonts w:ascii="Times New Roman" w:eastAsia="Times New Roman" w:hAnsi="Times New Roman" w:cs="Times New Roman"/>
          <w:b/>
          <w:bCs/>
          <w:color w:val="000000" w:themeColor="text1"/>
        </w:rPr>
        <w:t xml:space="preserve"> (EC</w:t>
      </w:r>
      <w:proofErr w:type="gramStart"/>
      <w:r w:rsidRPr="00EC3096">
        <w:rPr>
          <w:rFonts w:ascii="Times New Roman" w:eastAsia="Times New Roman" w:hAnsi="Times New Roman" w:cs="Times New Roman"/>
          <w:b/>
          <w:bCs/>
          <w:color w:val="000000" w:themeColor="text1"/>
        </w:rPr>
        <w:t>)</w:t>
      </w:r>
      <w:r w:rsidRPr="00EC3096">
        <w:rPr>
          <w:rFonts w:ascii="Times New Roman" w:eastAsia="Times New Roman" w:hAnsi="Times New Roman" w:cs="Times New Roman"/>
          <w:color w:val="000000" w:themeColor="text1"/>
        </w:rPr>
        <w:t xml:space="preserve"> segment</w:t>
      </w:r>
      <w:proofErr w:type="gramEnd"/>
      <w:r w:rsidRPr="00EC3096">
        <w:rPr>
          <w:rFonts w:ascii="Times New Roman" w:eastAsia="Times New Roman" w:hAnsi="Times New Roman" w:cs="Times New Roman"/>
          <w:color w:val="000000" w:themeColor="text1"/>
        </w:rPr>
        <w:t xml:space="preserve"> delivered robust results, buoyed by elevated </w:t>
      </w:r>
      <w:r w:rsidRPr="00EC3096">
        <w:rPr>
          <w:rFonts w:ascii="Times New Roman" w:eastAsia="Times New Roman" w:hAnsi="Times New Roman" w:cs="Times New Roman"/>
          <w:b/>
          <w:bCs/>
          <w:color w:val="000000" w:themeColor="text1"/>
        </w:rPr>
        <w:t>caustic soda prices</w:t>
      </w:r>
      <w:r w:rsidRPr="00EC3096">
        <w:rPr>
          <w:rFonts w:ascii="Times New Roman" w:eastAsia="Times New Roman" w:hAnsi="Times New Roman" w:cs="Times New Roman"/>
          <w:color w:val="000000" w:themeColor="text1"/>
        </w:rPr>
        <w:t xml:space="preserve"> and stable demand for chlorine and hydrochloric acid.</w:t>
      </w:r>
    </w:p>
    <w:p w14:paraId="4AC68698" w14:textId="77777777" w:rsidR="00EC3096" w:rsidRPr="00EC3096" w:rsidRDefault="00EC3096" w:rsidP="00127934">
      <w:pPr>
        <w:numPr>
          <w:ilvl w:val="0"/>
          <w:numId w:val="24"/>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EC production facilities ran at high utilization rates; operational reliability remained strong across the fleet.</w:t>
      </w:r>
    </w:p>
    <w:p w14:paraId="3D2648EA" w14:textId="77777777" w:rsidR="00EC3096" w:rsidRPr="00EC3096" w:rsidRDefault="00EC3096" w:rsidP="00127934">
      <w:pPr>
        <w:numPr>
          <w:ilvl w:val="0"/>
          <w:numId w:val="24"/>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b/>
          <w:bCs/>
          <w:color w:val="000000" w:themeColor="text1"/>
        </w:rPr>
        <w:t>SWC</w:t>
      </w:r>
      <w:r w:rsidRPr="00EC3096">
        <w:rPr>
          <w:rFonts w:ascii="Times New Roman" w:eastAsia="Times New Roman" w:hAnsi="Times New Roman" w:cs="Times New Roman"/>
          <w:color w:val="000000" w:themeColor="text1"/>
        </w:rPr>
        <w:t xml:space="preserve"> segment performance was mixed:</w:t>
      </w:r>
    </w:p>
    <w:p w14:paraId="00C80EBB" w14:textId="77777777" w:rsidR="00EC3096" w:rsidRPr="00EC3096" w:rsidRDefault="00EC3096" w:rsidP="00127934">
      <w:pPr>
        <w:numPr>
          <w:ilvl w:val="1"/>
          <w:numId w:val="24"/>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Stronger alum and </w:t>
      </w:r>
      <w:proofErr w:type="spellStart"/>
      <w:r w:rsidRPr="00EC3096">
        <w:rPr>
          <w:rFonts w:ascii="Times New Roman" w:eastAsia="Times New Roman" w:hAnsi="Times New Roman" w:cs="Times New Roman"/>
          <w:color w:val="000000" w:themeColor="text1"/>
        </w:rPr>
        <w:t>polyaluminum</w:t>
      </w:r>
      <w:proofErr w:type="spellEnd"/>
      <w:r w:rsidRPr="00EC3096">
        <w:rPr>
          <w:rFonts w:ascii="Times New Roman" w:eastAsia="Times New Roman" w:hAnsi="Times New Roman" w:cs="Times New Roman"/>
          <w:color w:val="000000" w:themeColor="text1"/>
        </w:rPr>
        <w:t xml:space="preserve"> chloride (PAC) volumes to U.S. municipal markets</w:t>
      </w:r>
    </w:p>
    <w:p w14:paraId="15E9C79F" w14:textId="77777777" w:rsidR="00EC3096" w:rsidRPr="00EC3096" w:rsidRDefault="00EC3096" w:rsidP="00127934">
      <w:pPr>
        <w:numPr>
          <w:ilvl w:val="1"/>
          <w:numId w:val="24"/>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Weak sulfuric acid pricing (especially merchant acid) due to lower sulfur input values</w:t>
      </w:r>
    </w:p>
    <w:p w14:paraId="449BCE44" w14:textId="77777777" w:rsidR="00EC3096" w:rsidRPr="00EC3096" w:rsidRDefault="00EC3096" w:rsidP="00127934">
      <w:pPr>
        <w:numPr>
          <w:ilvl w:val="0"/>
          <w:numId w:val="24"/>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Sulfur cost declines were largely offset </w:t>
      </w:r>
      <w:proofErr w:type="gramStart"/>
      <w:r w:rsidRPr="00EC3096">
        <w:rPr>
          <w:rFonts w:ascii="Times New Roman" w:eastAsia="Times New Roman" w:hAnsi="Times New Roman" w:cs="Times New Roman"/>
          <w:color w:val="000000" w:themeColor="text1"/>
        </w:rPr>
        <w:t xml:space="preserve">by </w:t>
      </w:r>
      <w:r w:rsidRPr="00EC3096">
        <w:rPr>
          <w:rFonts w:ascii="Times New Roman" w:eastAsia="Times New Roman" w:hAnsi="Times New Roman" w:cs="Times New Roman"/>
          <w:b/>
          <w:bCs/>
          <w:color w:val="000000" w:themeColor="text1"/>
        </w:rPr>
        <w:t>pass</w:t>
      </w:r>
      <w:proofErr w:type="gramEnd"/>
      <w:r w:rsidRPr="00EC3096">
        <w:rPr>
          <w:rFonts w:ascii="Times New Roman" w:eastAsia="Times New Roman" w:hAnsi="Times New Roman" w:cs="Times New Roman"/>
          <w:b/>
          <w:bCs/>
          <w:color w:val="000000" w:themeColor="text1"/>
        </w:rPr>
        <w:t>-through pricing mechanisms</w:t>
      </w:r>
      <w:r w:rsidRPr="00EC3096">
        <w:rPr>
          <w:rFonts w:ascii="Times New Roman" w:eastAsia="Times New Roman" w:hAnsi="Times New Roman" w:cs="Times New Roman"/>
          <w:color w:val="000000" w:themeColor="text1"/>
        </w:rPr>
        <w:t xml:space="preserve"> embedded in many customer contracts, which insulated margin performance.</w:t>
      </w:r>
    </w:p>
    <w:p w14:paraId="2844F231" w14:textId="77777777" w:rsidR="00EC3096" w:rsidRPr="00EC3096" w:rsidRDefault="00EC3096" w:rsidP="00127934">
      <w:pPr>
        <w:numPr>
          <w:ilvl w:val="0"/>
          <w:numId w:val="24"/>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Company highlighted its </w:t>
      </w:r>
      <w:proofErr w:type="gramStart"/>
      <w:r w:rsidRPr="00EC3096">
        <w:rPr>
          <w:rFonts w:ascii="Times New Roman" w:eastAsia="Times New Roman" w:hAnsi="Times New Roman" w:cs="Times New Roman"/>
          <w:b/>
          <w:bCs/>
          <w:color w:val="000000" w:themeColor="text1"/>
        </w:rPr>
        <w:t>Decatur,</w:t>
      </w:r>
      <w:proofErr w:type="gramEnd"/>
      <w:r w:rsidRPr="00EC3096">
        <w:rPr>
          <w:rFonts w:ascii="Times New Roman" w:eastAsia="Times New Roman" w:hAnsi="Times New Roman" w:cs="Times New Roman"/>
          <w:b/>
          <w:bCs/>
          <w:color w:val="000000" w:themeColor="text1"/>
        </w:rPr>
        <w:t xml:space="preserve"> Alabama plant</w:t>
      </w:r>
      <w:r w:rsidRPr="00EC3096">
        <w:rPr>
          <w:rFonts w:ascii="Times New Roman" w:eastAsia="Times New Roman" w:hAnsi="Times New Roman" w:cs="Times New Roman"/>
          <w:color w:val="000000" w:themeColor="text1"/>
        </w:rPr>
        <w:t xml:space="preserve"> as strategically located near key municipal and industrial water customers in the Southeast — benefiting from demand tailwinds and regional expansion (via </w:t>
      </w:r>
      <w:proofErr w:type="spellStart"/>
      <w:r w:rsidRPr="00EC3096">
        <w:rPr>
          <w:rFonts w:ascii="Times New Roman" w:eastAsia="Times New Roman" w:hAnsi="Times New Roman" w:cs="Times New Roman"/>
          <w:color w:val="000000" w:themeColor="text1"/>
        </w:rPr>
        <w:t>Polytec</w:t>
      </w:r>
      <w:proofErr w:type="spellEnd"/>
      <w:r w:rsidRPr="00EC3096">
        <w:rPr>
          <w:rFonts w:ascii="Times New Roman" w:eastAsia="Times New Roman" w:hAnsi="Times New Roman" w:cs="Times New Roman"/>
          <w:color w:val="000000" w:themeColor="text1"/>
        </w:rPr>
        <w:t>).</w:t>
      </w:r>
    </w:p>
    <w:p w14:paraId="780BF7BF" w14:textId="77777777" w:rsidR="00EC3096" w:rsidRPr="00EC3096" w:rsidRDefault="00EC3096" w:rsidP="00127934">
      <w:pPr>
        <w:numPr>
          <w:ilvl w:val="0"/>
          <w:numId w:val="24"/>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Implemented digital operations tools and predictive maintenance protocols across high-volume plants, enhancing uptime and lowering maintenance cost variability.</w:t>
      </w:r>
    </w:p>
    <w:p w14:paraId="7E2C5232" w14:textId="77777777" w:rsidR="00EC3096" w:rsidRPr="00EC3096" w:rsidRDefault="00EC3096" w:rsidP="00EC3096">
      <w:p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b/>
          <w:bCs/>
          <w:color w:val="000000" w:themeColor="text1"/>
        </w:rPr>
        <w:t>Business Expansions &amp; Capital Expenditure Plans</w:t>
      </w:r>
    </w:p>
    <w:p w14:paraId="055A3317" w14:textId="77777777" w:rsidR="00EC3096" w:rsidRPr="00EC3096" w:rsidRDefault="00EC3096" w:rsidP="00127934">
      <w:pPr>
        <w:numPr>
          <w:ilvl w:val="0"/>
          <w:numId w:val="25"/>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b/>
          <w:bCs/>
          <w:color w:val="000000" w:themeColor="text1"/>
        </w:rPr>
        <w:t xml:space="preserve">Growth </w:t>
      </w:r>
      <w:proofErr w:type="spellStart"/>
      <w:r w:rsidRPr="00EC3096">
        <w:rPr>
          <w:rFonts w:ascii="Times New Roman" w:eastAsia="Times New Roman" w:hAnsi="Times New Roman" w:cs="Times New Roman"/>
          <w:b/>
          <w:bCs/>
          <w:color w:val="000000" w:themeColor="text1"/>
        </w:rPr>
        <w:t>CapEx</w:t>
      </w:r>
      <w:proofErr w:type="spellEnd"/>
      <w:r w:rsidRPr="00EC3096">
        <w:rPr>
          <w:rFonts w:ascii="Times New Roman" w:eastAsia="Times New Roman" w:hAnsi="Times New Roman" w:cs="Times New Roman"/>
          <w:color w:val="000000" w:themeColor="text1"/>
        </w:rPr>
        <w:t xml:space="preserve"> for Q2 was </w:t>
      </w:r>
      <w:r w:rsidRPr="00EC3096">
        <w:rPr>
          <w:rFonts w:ascii="Times New Roman" w:eastAsia="Times New Roman" w:hAnsi="Times New Roman" w:cs="Times New Roman"/>
          <w:b/>
          <w:bCs/>
          <w:color w:val="000000" w:themeColor="text1"/>
        </w:rPr>
        <w:t>CAD 11 million</w:t>
      </w:r>
      <w:r w:rsidRPr="00EC3096">
        <w:rPr>
          <w:rFonts w:ascii="Times New Roman" w:eastAsia="Times New Roman" w:hAnsi="Times New Roman" w:cs="Times New Roman"/>
          <w:color w:val="000000" w:themeColor="text1"/>
        </w:rPr>
        <w:t>, part of a full-year projection of CAD 50–60 million, targeting:</w:t>
      </w:r>
    </w:p>
    <w:p w14:paraId="7066B49F" w14:textId="77777777" w:rsidR="00EC3096" w:rsidRPr="00EC3096" w:rsidRDefault="00EC3096" w:rsidP="00127934">
      <w:pPr>
        <w:numPr>
          <w:ilvl w:val="1"/>
          <w:numId w:val="25"/>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New </w:t>
      </w:r>
      <w:r w:rsidRPr="00EC3096">
        <w:rPr>
          <w:rFonts w:ascii="Times New Roman" w:eastAsia="Times New Roman" w:hAnsi="Times New Roman" w:cs="Times New Roman"/>
          <w:b/>
          <w:bCs/>
          <w:color w:val="000000" w:themeColor="text1"/>
        </w:rPr>
        <w:t>aluminum-based water treatment line</w:t>
      </w:r>
      <w:r w:rsidRPr="00EC3096">
        <w:rPr>
          <w:rFonts w:ascii="Times New Roman" w:eastAsia="Times New Roman" w:hAnsi="Times New Roman" w:cs="Times New Roman"/>
          <w:color w:val="000000" w:themeColor="text1"/>
        </w:rPr>
        <w:t xml:space="preserve"> in Augusta, GA</w:t>
      </w:r>
    </w:p>
    <w:p w14:paraId="2F2C2B9A" w14:textId="77777777" w:rsidR="00EC3096" w:rsidRPr="00EC3096" w:rsidRDefault="00EC3096" w:rsidP="00127934">
      <w:pPr>
        <w:numPr>
          <w:ilvl w:val="1"/>
          <w:numId w:val="25"/>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Maintenance and debottlenecking projects across SWC and EC facilities</w:t>
      </w:r>
    </w:p>
    <w:p w14:paraId="4C9185E4" w14:textId="77777777" w:rsidR="00EC3096" w:rsidRPr="00EC3096" w:rsidRDefault="00EC3096" w:rsidP="00127934">
      <w:pPr>
        <w:numPr>
          <w:ilvl w:val="1"/>
          <w:numId w:val="25"/>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Infrastructure upgrades at older PAC and alum plants</w:t>
      </w:r>
    </w:p>
    <w:p w14:paraId="05CA5898" w14:textId="77777777" w:rsidR="00EC3096" w:rsidRPr="00EC3096" w:rsidRDefault="00EC3096" w:rsidP="00127934">
      <w:pPr>
        <w:numPr>
          <w:ilvl w:val="0"/>
          <w:numId w:val="25"/>
        </w:numPr>
        <w:spacing w:beforeAutospacing="1" w:afterAutospacing="1" w:line="240" w:lineRule="auto"/>
        <w:rPr>
          <w:rFonts w:ascii="Times New Roman" w:eastAsia="Times New Roman" w:hAnsi="Times New Roman" w:cs="Times New Roman"/>
          <w:color w:val="000000" w:themeColor="text1"/>
        </w:rPr>
      </w:pPr>
      <w:proofErr w:type="spellStart"/>
      <w:r w:rsidRPr="00EC3096">
        <w:rPr>
          <w:rFonts w:ascii="Times New Roman" w:eastAsia="Times New Roman" w:hAnsi="Times New Roman" w:cs="Times New Roman"/>
          <w:b/>
          <w:bCs/>
          <w:color w:val="000000" w:themeColor="text1"/>
        </w:rPr>
        <w:t>Polytec</w:t>
      </w:r>
      <w:proofErr w:type="spellEnd"/>
      <w:r w:rsidRPr="00EC3096">
        <w:rPr>
          <w:rFonts w:ascii="Times New Roman" w:eastAsia="Times New Roman" w:hAnsi="Times New Roman" w:cs="Times New Roman"/>
          <w:b/>
          <w:bCs/>
          <w:color w:val="000000" w:themeColor="text1"/>
        </w:rPr>
        <w:t xml:space="preserve"> acquisition</w:t>
      </w:r>
      <w:r w:rsidRPr="00EC3096">
        <w:rPr>
          <w:rFonts w:ascii="Times New Roman" w:eastAsia="Times New Roman" w:hAnsi="Times New Roman" w:cs="Times New Roman"/>
          <w:color w:val="000000" w:themeColor="text1"/>
        </w:rPr>
        <w:t xml:space="preserve">, completed in early Q2, brings three facilities in Georgia and Tennessee, expanding </w:t>
      </w:r>
      <w:proofErr w:type="spellStart"/>
      <w:r w:rsidRPr="00EC3096">
        <w:rPr>
          <w:rFonts w:ascii="Times New Roman" w:eastAsia="Times New Roman" w:hAnsi="Times New Roman" w:cs="Times New Roman"/>
          <w:color w:val="000000" w:themeColor="text1"/>
        </w:rPr>
        <w:t>Chemtrade’s</w:t>
      </w:r>
      <w:proofErr w:type="spellEnd"/>
      <w:r w:rsidRPr="00EC3096">
        <w:rPr>
          <w:rFonts w:ascii="Times New Roman" w:eastAsia="Times New Roman" w:hAnsi="Times New Roman" w:cs="Times New Roman"/>
          <w:color w:val="000000" w:themeColor="text1"/>
        </w:rPr>
        <w:t xml:space="preserve"> footprint across the Southeast U.S.</w:t>
      </w:r>
    </w:p>
    <w:p w14:paraId="3EB56DC0" w14:textId="77777777" w:rsidR="00EC3096" w:rsidRPr="00EC3096" w:rsidRDefault="00EC3096" w:rsidP="00127934">
      <w:pPr>
        <w:numPr>
          <w:ilvl w:val="1"/>
          <w:numId w:val="25"/>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Offers cross-selling opportunities and logistical synergies with </w:t>
      </w:r>
      <w:r w:rsidRPr="00EC3096">
        <w:rPr>
          <w:rFonts w:ascii="Times New Roman" w:eastAsia="Times New Roman" w:hAnsi="Times New Roman" w:cs="Times New Roman"/>
          <w:b/>
          <w:bCs/>
          <w:color w:val="000000" w:themeColor="text1"/>
        </w:rPr>
        <w:t>Decatur, AL</w:t>
      </w:r>
    </w:p>
    <w:p w14:paraId="514030DF" w14:textId="77777777" w:rsidR="00EC3096" w:rsidRPr="00EC3096" w:rsidRDefault="00EC3096" w:rsidP="00127934">
      <w:pPr>
        <w:numPr>
          <w:ilvl w:val="0"/>
          <w:numId w:val="25"/>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Continued evaluation of </w:t>
      </w:r>
      <w:r w:rsidRPr="00EC3096">
        <w:rPr>
          <w:rFonts w:ascii="Times New Roman" w:eastAsia="Times New Roman" w:hAnsi="Times New Roman" w:cs="Times New Roman"/>
          <w:b/>
          <w:bCs/>
          <w:color w:val="000000" w:themeColor="text1"/>
        </w:rPr>
        <w:t>bolt-on M&amp;A</w:t>
      </w:r>
      <w:r w:rsidRPr="00EC3096">
        <w:rPr>
          <w:rFonts w:ascii="Times New Roman" w:eastAsia="Times New Roman" w:hAnsi="Times New Roman" w:cs="Times New Roman"/>
          <w:color w:val="000000" w:themeColor="text1"/>
        </w:rPr>
        <w:t xml:space="preserve"> in water chemicals and HCl production segments; disciplined focus on synergies and return thresholds</w:t>
      </w:r>
    </w:p>
    <w:p w14:paraId="269FB7DA" w14:textId="77777777" w:rsidR="00EC3096" w:rsidRPr="00EC3096" w:rsidRDefault="00EC3096" w:rsidP="00127934">
      <w:pPr>
        <w:numPr>
          <w:ilvl w:val="0"/>
          <w:numId w:val="25"/>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Sustaining </w:t>
      </w:r>
      <w:proofErr w:type="spellStart"/>
      <w:r w:rsidRPr="00EC3096">
        <w:rPr>
          <w:rFonts w:ascii="Times New Roman" w:eastAsia="Times New Roman" w:hAnsi="Times New Roman" w:cs="Times New Roman"/>
          <w:color w:val="000000" w:themeColor="text1"/>
        </w:rPr>
        <w:t>CapEx</w:t>
      </w:r>
      <w:proofErr w:type="spellEnd"/>
      <w:r w:rsidRPr="00EC3096">
        <w:rPr>
          <w:rFonts w:ascii="Times New Roman" w:eastAsia="Times New Roman" w:hAnsi="Times New Roman" w:cs="Times New Roman"/>
          <w:color w:val="000000" w:themeColor="text1"/>
        </w:rPr>
        <w:t xml:space="preserve"> expected to remain in the CAD 45–55 million range; </w:t>
      </w:r>
      <w:proofErr w:type="spellStart"/>
      <w:r w:rsidRPr="00EC3096">
        <w:rPr>
          <w:rFonts w:ascii="Times New Roman" w:eastAsia="Times New Roman" w:hAnsi="Times New Roman" w:cs="Times New Roman"/>
          <w:color w:val="000000" w:themeColor="text1"/>
        </w:rPr>
        <w:t>Chemtrade</w:t>
      </w:r>
      <w:proofErr w:type="spellEnd"/>
      <w:r w:rsidRPr="00EC3096">
        <w:rPr>
          <w:rFonts w:ascii="Times New Roman" w:eastAsia="Times New Roman" w:hAnsi="Times New Roman" w:cs="Times New Roman"/>
          <w:color w:val="000000" w:themeColor="text1"/>
        </w:rPr>
        <w:t xml:space="preserve"> differentiates between “base sustaining” and “growth sustaining” capital clearly for internal and investor reporting</w:t>
      </w:r>
    </w:p>
    <w:p w14:paraId="585CDBB1" w14:textId="77777777" w:rsidR="00EC3096" w:rsidRPr="00EC3096" w:rsidRDefault="00EC3096" w:rsidP="00127934">
      <w:pPr>
        <w:numPr>
          <w:ilvl w:val="0"/>
          <w:numId w:val="25"/>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Company reiterated commitment to </w:t>
      </w:r>
      <w:r w:rsidRPr="00EC3096">
        <w:rPr>
          <w:rFonts w:ascii="Times New Roman" w:eastAsia="Times New Roman" w:hAnsi="Times New Roman" w:cs="Times New Roman"/>
          <w:b/>
          <w:bCs/>
          <w:color w:val="000000" w:themeColor="text1"/>
        </w:rPr>
        <w:t>Vision 2030</w:t>
      </w:r>
      <w:r w:rsidRPr="00EC3096">
        <w:rPr>
          <w:rFonts w:ascii="Times New Roman" w:eastAsia="Times New Roman" w:hAnsi="Times New Roman" w:cs="Times New Roman"/>
          <w:color w:val="000000" w:themeColor="text1"/>
        </w:rPr>
        <w:t xml:space="preserve"> goals, targeting EBITDA growth of 30–40% over the next 5 years through organic expansions and accretive M&amp;A</w:t>
      </w:r>
    </w:p>
    <w:p w14:paraId="7D6509A9" w14:textId="77777777" w:rsidR="00EC3096" w:rsidRPr="00EC3096" w:rsidRDefault="00EC3096" w:rsidP="00EC3096">
      <w:p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b/>
          <w:bCs/>
          <w:color w:val="000000" w:themeColor="text1"/>
        </w:rPr>
        <w:t>Segment Performance &amp; Outlook</w:t>
      </w:r>
    </w:p>
    <w:p w14:paraId="28309BF8" w14:textId="77777777" w:rsidR="00EC3096" w:rsidRPr="00EC3096" w:rsidRDefault="00EC3096" w:rsidP="00127934">
      <w:pPr>
        <w:numPr>
          <w:ilvl w:val="0"/>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b/>
          <w:bCs/>
          <w:color w:val="000000" w:themeColor="text1"/>
        </w:rPr>
        <w:t>Sulphur &amp; Water Chemicals (SWC)</w:t>
      </w:r>
      <w:r w:rsidRPr="00EC3096">
        <w:rPr>
          <w:rFonts w:ascii="Times New Roman" w:eastAsia="Times New Roman" w:hAnsi="Times New Roman" w:cs="Times New Roman"/>
          <w:color w:val="000000" w:themeColor="text1"/>
        </w:rPr>
        <w:t>:</w:t>
      </w:r>
    </w:p>
    <w:p w14:paraId="6BDC516F"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Q2 revenue: CAD 279 million</w:t>
      </w:r>
    </w:p>
    <w:p w14:paraId="7E2CEF14"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Lower merchant sulfuric acid pricing offset by strong water treatment demand and pricing discipline in alum/PAC products</w:t>
      </w:r>
    </w:p>
    <w:p w14:paraId="1CDCD7DE"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lastRenderedPageBreak/>
        <w:t>Volumes for aluminum-based products up high-single digits YoY, particularly in U.S. Southeast and Midwest</w:t>
      </w:r>
    </w:p>
    <w:p w14:paraId="5F520E07"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b/>
          <w:bCs/>
          <w:color w:val="000000" w:themeColor="text1"/>
        </w:rPr>
        <w:t>Decatur, AL facility</w:t>
      </w:r>
      <w:r w:rsidRPr="00EC3096">
        <w:rPr>
          <w:rFonts w:ascii="Times New Roman" w:eastAsia="Times New Roman" w:hAnsi="Times New Roman" w:cs="Times New Roman"/>
          <w:color w:val="000000" w:themeColor="text1"/>
        </w:rPr>
        <w:t xml:space="preserve"> continues to support municipal contracts across Alabama, Mississippi, and Georgia — expected to benefit from regional infrastructure spending</w:t>
      </w:r>
    </w:p>
    <w:p w14:paraId="69F10D17"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Integration of </w:t>
      </w:r>
      <w:proofErr w:type="spellStart"/>
      <w:r w:rsidRPr="00EC3096">
        <w:rPr>
          <w:rFonts w:ascii="Times New Roman" w:eastAsia="Times New Roman" w:hAnsi="Times New Roman" w:cs="Times New Roman"/>
          <w:color w:val="000000" w:themeColor="text1"/>
        </w:rPr>
        <w:t>Polytec</w:t>
      </w:r>
      <w:proofErr w:type="spellEnd"/>
      <w:r w:rsidRPr="00EC3096">
        <w:rPr>
          <w:rFonts w:ascii="Times New Roman" w:eastAsia="Times New Roman" w:hAnsi="Times New Roman" w:cs="Times New Roman"/>
          <w:color w:val="000000" w:themeColor="text1"/>
        </w:rPr>
        <w:t xml:space="preserve"> expected to increase water chemical sales by 15–20% in the region</w:t>
      </w:r>
    </w:p>
    <w:p w14:paraId="5F90106F" w14:textId="77777777" w:rsidR="00EC3096" w:rsidRPr="00EC3096" w:rsidRDefault="00EC3096" w:rsidP="00127934">
      <w:pPr>
        <w:numPr>
          <w:ilvl w:val="0"/>
          <w:numId w:val="26"/>
        </w:numPr>
        <w:spacing w:beforeAutospacing="1" w:afterAutospacing="1" w:line="240" w:lineRule="auto"/>
        <w:rPr>
          <w:rFonts w:ascii="Times New Roman" w:eastAsia="Times New Roman" w:hAnsi="Times New Roman" w:cs="Times New Roman"/>
          <w:color w:val="000000" w:themeColor="text1"/>
        </w:rPr>
      </w:pPr>
      <w:proofErr w:type="spellStart"/>
      <w:r w:rsidRPr="00EC3096">
        <w:rPr>
          <w:rFonts w:ascii="Times New Roman" w:eastAsia="Times New Roman" w:hAnsi="Times New Roman" w:cs="Times New Roman"/>
          <w:b/>
          <w:bCs/>
          <w:color w:val="000000" w:themeColor="text1"/>
        </w:rPr>
        <w:t>Electrochemicals</w:t>
      </w:r>
      <w:proofErr w:type="spellEnd"/>
      <w:r w:rsidRPr="00EC3096">
        <w:rPr>
          <w:rFonts w:ascii="Times New Roman" w:eastAsia="Times New Roman" w:hAnsi="Times New Roman" w:cs="Times New Roman"/>
          <w:b/>
          <w:bCs/>
          <w:color w:val="000000" w:themeColor="text1"/>
        </w:rPr>
        <w:t xml:space="preserve"> (EC)</w:t>
      </w:r>
      <w:r w:rsidRPr="00EC3096">
        <w:rPr>
          <w:rFonts w:ascii="Times New Roman" w:eastAsia="Times New Roman" w:hAnsi="Times New Roman" w:cs="Times New Roman"/>
          <w:color w:val="000000" w:themeColor="text1"/>
        </w:rPr>
        <w:t>:</w:t>
      </w:r>
    </w:p>
    <w:p w14:paraId="34D34D70"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Q2 revenue: CAD 218 million</w:t>
      </w:r>
    </w:p>
    <w:p w14:paraId="294E96BC"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Strong caustic soda pricing environment remains key earnings driver</w:t>
      </w:r>
    </w:p>
    <w:p w14:paraId="46F963FE"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Production and sales volumes consistent with prior quarters</w:t>
      </w:r>
    </w:p>
    <w:p w14:paraId="687DDBDE"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HCl volumes improved </w:t>
      </w:r>
      <w:proofErr w:type="gramStart"/>
      <w:r w:rsidRPr="00EC3096">
        <w:rPr>
          <w:rFonts w:ascii="Times New Roman" w:eastAsia="Times New Roman" w:hAnsi="Times New Roman" w:cs="Times New Roman"/>
          <w:color w:val="000000" w:themeColor="text1"/>
        </w:rPr>
        <w:t>modestly;</w:t>
      </w:r>
      <w:proofErr w:type="gramEnd"/>
      <w:r w:rsidRPr="00EC3096">
        <w:rPr>
          <w:rFonts w:ascii="Times New Roman" w:eastAsia="Times New Roman" w:hAnsi="Times New Roman" w:cs="Times New Roman"/>
          <w:color w:val="000000" w:themeColor="text1"/>
        </w:rPr>
        <w:t xml:space="preserve"> chlorine sales stable with typical seasonal patterns</w:t>
      </w:r>
    </w:p>
    <w:p w14:paraId="3F68B043"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Long-term contracts and cost pass-throughs protect against commodity volatility</w:t>
      </w:r>
    </w:p>
    <w:p w14:paraId="2E3EC14C" w14:textId="77777777" w:rsidR="00EC3096" w:rsidRPr="00EC3096" w:rsidRDefault="00EC3096" w:rsidP="00127934">
      <w:pPr>
        <w:numPr>
          <w:ilvl w:val="0"/>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b/>
          <w:bCs/>
          <w:color w:val="000000" w:themeColor="text1"/>
        </w:rPr>
        <w:t>Outlook</w:t>
      </w:r>
      <w:r w:rsidRPr="00EC3096">
        <w:rPr>
          <w:rFonts w:ascii="Times New Roman" w:eastAsia="Times New Roman" w:hAnsi="Times New Roman" w:cs="Times New Roman"/>
          <w:color w:val="000000" w:themeColor="text1"/>
        </w:rPr>
        <w:t>:</w:t>
      </w:r>
    </w:p>
    <w:p w14:paraId="388A5AF9"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FY2025 guidance reaffirmed:</w:t>
      </w:r>
    </w:p>
    <w:p w14:paraId="2ED0DE8C" w14:textId="77777777" w:rsidR="00EC3096" w:rsidRPr="00EC3096" w:rsidRDefault="00EC3096" w:rsidP="00127934">
      <w:pPr>
        <w:numPr>
          <w:ilvl w:val="2"/>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EBITDA: CAD 380–400 million</w:t>
      </w:r>
    </w:p>
    <w:p w14:paraId="1DF65D67" w14:textId="77777777" w:rsidR="00EC3096" w:rsidRPr="00EC3096" w:rsidRDefault="00EC3096" w:rsidP="00127934">
      <w:pPr>
        <w:numPr>
          <w:ilvl w:val="2"/>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Growth </w:t>
      </w:r>
      <w:proofErr w:type="spellStart"/>
      <w:r w:rsidRPr="00EC3096">
        <w:rPr>
          <w:rFonts w:ascii="Times New Roman" w:eastAsia="Times New Roman" w:hAnsi="Times New Roman" w:cs="Times New Roman"/>
          <w:color w:val="000000" w:themeColor="text1"/>
        </w:rPr>
        <w:t>CapEx</w:t>
      </w:r>
      <w:proofErr w:type="spellEnd"/>
      <w:r w:rsidRPr="00EC3096">
        <w:rPr>
          <w:rFonts w:ascii="Times New Roman" w:eastAsia="Times New Roman" w:hAnsi="Times New Roman" w:cs="Times New Roman"/>
          <w:color w:val="000000" w:themeColor="text1"/>
        </w:rPr>
        <w:t>: CAD 50–60 million</w:t>
      </w:r>
    </w:p>
    <w:p w14:paraId="0F6A0945" w14:textId="77777777" w:rsidR="00EC3096" w:rsidRPr="00EC3096" w:rsidRDefault="00EC3096" w:rsidP="00127934">
      <w:pPr>
        <w:numPr>
          <w:ilvl w:val="2"/>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Free cash flow expected to improve sequentially in H2</w:t>
      </w:r>
    </w:p>
    <w:p w14:paraId="71F24F2A"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End markets (especially water treatment) remain resilient and stable</w:t>
      </w:r>
    </w:p>
    <w:p w14:paraId="77D3F9D0"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Focus areas for H2:</w:t>
      </w:r>
    </w:p>
    <w:p w14:paraId="1A238EA3" w14:textId="77777777" w:rsidR="00EC3096" w:rsidRPr="00EC3096" w:rsidRDefault="00EC3096" w:rsidP="00127934">
      <w:pPr>
        <w:numPr>
          <w:ilvl w:val="2"/>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 xml:space="preserve">Continued integration of </w:t>
      </w:r>
      <w:proofErr w:type="spellStart"/>
      <w:r w:rsidRPr="00EC3096">
        <w:rPr>
          <w:rFonts w:ascii="Times New Roman" w:eastAsia="Times New Roman" w:hAnsi="Times New Roman" w:cs="Times New Roman"/>
          <w:color w:val="000000" w:themeColor="text1"/>
        </w:rPr>
        <w:t>Polytec</w:t>
      </w:r>
      <w:proofErr w:type="spellEnd"/>
    </w:p>
    <w:p w14:paraId="6123B03F" w14:textId="77777777" w:rsidR="00EC3096" w:rsidRPr="00EC3096" w:rsidRDefault="00EC3096" w:rsidP="00127934">
      <w:pPr>
        <w:numPr>
          <w:ilvl w:val="2"/>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Advancing Augusta, GA plant completion</w:t>
      </w:r>
    </w:p>
    <w:p w14:paraId="312D4119" w14:textId="77777777" w:rsidR="00EC3096" w:rsidRPr="00EC3096" w:rsidRDefault="00EC3096" w:rsidP="00127934">
      <w:pPr>
        <w:numPr>
          <w:ilvl w:val="2"/>
          <w:numId w:val="26"/>
        </w:numPr>
        <w:spacing w:beforeAutospacing="1" w:afterAutospacing="1" w:line="240" w:lineRule="auto"/>
        <w:rPr>
          <w:rFonts w:ascii="Times New Roman" w:eastAsia="Times New Roman" w:hAnsi="Times New Roman" w:cs="Times New Roman"/>
          <w:color w:val="000000" w:themeColor="text1"/>
        </w:rPr>
      </w:pPr>
      <w:r w:rsidRPr="00EC3096">
        <w:rPr>
          <w:rFonts w:ascii="Times New Roman" w:eastAsia="Times New Roman" w:hAnsi="Times New Roman" w:cs="Times New Roman"/>
          <w:color w:val="000000" w:themeColor="text1"/>
        </w:rPr>
        <w:t>Ongoing debottlenecking at EC sites</w:t>
      </w:r>
    </w:p>
    <w:p w14:paraId="30271840" w14:textId="77777777" w:rsidR="00EC3096" w:rsidRPr="00EC3096" w:rsidRDefault="00EC3096" w:rsidP="00127934">
      <w:pPr>
        <w:numPr>
          <w:ilvl w:val="1"/>
          <w:numId w:val="26"/>
        </w:numPr>
        <w:spacing w:beforeAutospacing="1" w:afterAutospacing="1" w:line="240" w:lineRule="auto"/>
        <w:rPr>
          <w:rFonts w:ascii="Times New Roman" w:eastAsia="Times New Roman" w:hAnsi="Times New Roman" w:cs="Times New Roman"/>
          <w:color w:val="000000" w:themeColor="text1"/>
        </w:rPr>
      </w:pPr>
      <w:proofErr w:type="spellStart"/>
      <w:r w:rsidRPr="00EC3096">
        <w:rPr>
          <w:rFonts w:ascii="Times New Roman" w:eastAsia="Times New Roman" w:hAnsi="Times New Roman" w:cs="Times New Roman"/>
          <w:color w:val="000000" w:themeColor="text1"/>
        </w:rPr>
        <w:t>Chemtrade</w:t>
      </w:r>
      <w:proofErr w:type="spellEnd"/>
      <w:r w:rsidRPr="00EC3096">
        <w:rPr>
          <w:rFonts w:ascii="Times New Roman" w:eastAsia="Times New Roman" w:hAnsi="Times New Roman" w:cs="Times New Roman"/>
          <w:color w:val="000000" w:themeColor="text1"/>
        </w:rPr>
        <w:t xml:space="preserve"> expects to maintain its position as </w:t>
      </w:r>
      <w:r w:rsidRPr="00EC3096">
        <w:rPr>
          <w:rFonts w:ascii="Times New Roman" w:eastAsia="Times New Roman" w:hAnsi="Times New Roman" w:cs="Times New Roman"/>
          <w:b/>
          <w:bCs/>
          <w:color w:val="000000" w:themeColor="text1"/>
        </w:rPr>
        <w:t>one of the top North American producers of water treatment chemicals</w:t>
      </w:r>
      <w:r w:rsidRPr="00EC3096">
        <w:rPr>
          <w:rFonts w:ascii="Times New Roman" w:eastAsia="Times New Roman" w:hAnsi="Times New Roman" w:cs="Times New Roman"/>
          <w:color w:val="000000" w:themeColor="text1"/>
        </w:rPr>
        <w:t>, especially in the Southeast, with Decatur playing a continuing role in that growth strategy</w:t>
      </w:r>
    </w:p>
    <w:p w14:paraId="1560F15A" w14:textId="78A1AB9B"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1F92ACEC" w14:textId="78E873D4"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71F87A4B" w14:textId="61023AE0"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2ED954C3" w14:textId="58C3D735" w:rsidR="008B733A" w:rsidRPr="00BC0D8E" w:rsidRDefault="02D8AC93" w:rsidP="2535092B">
      <w:pPr>
        <w:pStyle w:val="ListParagraph"/>
        <w:rPr>
          <w:rFonts w:ascii="Times New Roman" w:hAnsi="Times New Roman" w:cs="Times New Roman"/>
        </w:rPr>
      </w:pPr>
      <w:r>
        <w:br/>
      </w:r>
    </w:p>
    <w:p w14:paraId="62957F26" w14:textId="77777777" w:rsidR="008B733A" w:rsidRPr="00BC0D8E" w:rsidRDefault="34354836" w:rsidP="008B733A">
      <w:pPr>
        <w:pStyle w:val="Heading2"/>
        <w:rPr>
          <w:rFonts w:cs="Times New Roman"/>
        </w:rPr>
      </w:pPr>
      <w:bookmarkStart w:id="32" w:name="_Toc147824655"/>
      <w:bookmarkStart w:id="33" w:name="_Toc212796743"/>
      <w:proofErr w:type="spellStart"/>
      <w:r w:rsidRPr="2535092B">
        <w:rPr>
          <w:rFonts w:cs="Times New Roman"/>
        </w:rPr>
        <w:t>Constellium</w:t>
      </w:r>
      <w:proofErr w:type="spellEnd"/>
      <w:r w:rsidRPr="2535092B">
        <w:rPr>
          <w:rFonts w:cs="Times New Roman"/>
        </w:rPr>
        <w:t xml:space="preserve"> N.V. (</w:t>
      </w:r>
      <w:proofErr w:type="gramStart"/>
      <w:r w:rsidRPr="2535092B">
        <w:rPr>
          <w:rFonts w:cs="Times New Roman"/>
        </w:rPr>
        <w:t>NYSE:CSTM</w:t>
      </w:r>
      <w:proofErr w:type="gramEnd"/>
      <w:r w:rsidRPr="2535092B">
        <w:rPr>
          <w:rFonts w:cs="Times New Roman"/>
        </w:rPr>
        <w:t>)</w:t>
      </w:r>
      <w:bookmarkEnd w:id="32"/>
      <w:bookmarkEnd w:id="33"/>
      <w:r w:rsidRPr="2535092B">
        <w:rPr>
          <w:rFonts w:cs="Times New Roman"/>
        </w:rPr>
        <w:t xml:space="preserve"> </w:t>
      </w:r>
    </w:p>
    <w:p w14:paraId="1C3BCB7E" w14:textId="2A3CEB02" w:rsidR="008B733A" w:rsidRPr="00BC0D8E" w:rsidRDefault="02FFA956" w:rsidP="2535092B">
      <w:pPr>
        <w:pStyle w:val="Heading3"/>
        <w:rPr>
          <w:rFonts w:cs="Times New Roman"/>
          <w:color w:val="00B050"/>
        </w:rPr>
      </w:pPr>
      <w:bookmarkStart w:id="34" w:name="_Toc147824656"/>
      <w:bookmarkStart w:id="35" w:name="_Toc212796744"/>
      <w:r w:rsidRPr="2EEB26EF">
        <w:rPr>
          <w:rFonts w:cs="Times New Roman"/>
        </w:rPr>
        <w:t xml:space="preserve">Outlook: </w:t>
      </w:r>
      <w:bookmarkEnd w:id="34"/>
      <w:r w:rsidR="00714F8F" w:rsidRPr="00AF2939">
        <w:rPr>
          <w:rFonts w:cs="Times New Roman"/>
          <w:color w:val="00B050"/>
        </w:rPr>
        <w:t>Positive</w:t>
      </w:r>
      <w:bookmarkEnd w:id="35"/>
    </w:p>
    <w:p w14:paraId="3CFA6FD3" w14:textId="723C0B03" w:rsidR="008B733A" w:rsidRPr="00BC0D8E" w:rsidRDefault="02FFA956" w:rsidP="3CA273EB">
      <w:pPr>
        <w:pStyle w:val="Heading3"/>
        <w:rPr>
          <w:rFonts w:cs="Times New Roman"/>
          <w:color w:val="00B050"/>
        </w:rPr>
      </w:pPr>
      <w:bookmarkStart w:id="36" w:name="_Toc147824657"/>
      <w:bookmarkStart w:id="37" w:name="_Toc212796745"/>
      <w:r w:rsidRPr="76843851">
        <w:rPr>
          <w:rFonts w:cs="Times New Roman"/>
        </w:rPr>
        <w:t xml:space="preserve">AL Outlook: </w:t>
      </w:r>
      <w:bookmarkEnd w:id="36"/>
      <w:r w:rsidR="00714F8F" w:rsidRPr="00AF2939">
        <w:rPr>
          <w:rFonts w:cs="Times New Roman"/>
          <w:color w:val="00B050"/>
        </w:rPr>
        <w:t>Positive</w:t>
      </w:r>
      <w:bookmarkEnd w:id="37"/>
    </w:p>
    <w:p w14:paraId="6EA0BD54" w14:textId="1BB27A42" w:rsidR="008B733A" w:rsidRPr="00BC0D8E" w:rsidRDefault="02FFA956" w:rsidP="2535092B">
      <w:pPr>
        <w:rPr>
          <w:rFonts w:ascii="Times New Roman" w:eastAsia="Times New Roman" w:hAnsi="Times New Roman" w:cs="Times New Roman"/>
        </w:rPr>
      </w:pPr>
      <w:r w:rsidRPr="0227D82F">
        <w:rPr>
          <w:rFonts w:ascii="Times New Roman" w:hAnsi="Times New Roman" w:cs="Times New Roman"/>
          <w:b/>
          <w:bCs/>
        </w:rPr>
        <w:t>Recommended Action:</w:t>
      </w:r>
      <w:r w:rsidRPr="0227D82F">
        <w:rPr>
          <w:rFonts w:ascii="Times New Roman" w:hAnsi="Times New Roman" w:cs="Times New Roman"/>
        </w:rPr>
        <w:t xml:space="preserve"> </w:t>
      </w:r>
      <w:commentRangeStart w:id="38"/>
      <w:r w:rsidR="4E88CE74" w:rsidRPr="0227D82F">
        <w:rPr>
          <w:rFonts w:ascii="Times New Roman" w:hAnsi="Times New Roman" w:cs="Times New Roman"/>
        </w:rPr>
        <w:t>N/A</w:t>
      </w:r>
      <w:commentRangeEnd w:id="38"/>
      <w:r>
        <w:rPr>
          <w:rStyle w:val="CommentReference"/>
        </w:rPr>
        <w:commentReference w:id="38"/>
      </w:r>
    </w:p>
    <w:p w14:paraId="68283845" w14:textId="04F62D2B" w:rsidR="008B733A" w:rsidRDefault="2D5490DE" w:rsidP="2535092B">
      <w:pPr>
        <w:spacing w:beforeAutospacing="1" w:afterAutospacing="1" w:line="240" w:lineRule="auto"/>
        <w:rPr>
          <w:rFonts w:ascii="Times New Roman" w:eastAsia="Times New Roman" w:hAnsi="Times New Roman" w:cs="Times New Roman"/>
          <w:color w:val="000000" w:themeColor="text1"/>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Muscle Shoals: Aluminum sheet manufacturing</w:t>
      </w:r>
    </w:p>
    <w:p w14:paraId="3418AF97" w14:textId="77777777" w:rsidR="00FA7E86" w:rsidRPr="00FA7E86" w:rsidRDefault="00FA7E86" w:rsidP="00FA7E86">
      <w:p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b/>
          <w:bCs/>
        </w:rPr>
        <w:t>Key Takeaways</w:t>
      </w:r>
    </w:p>
    <w:p w14:paraId="3214F4BF" w14:textId="77777777" w:rsidR="00FA7E86" w:rsidRPr="00FA7E86" w:rsidRDefault="00FA7E86" w:rsidP="00127934">
      <w:pPr>
        <w:numPr>
          <w:ilvl w:val="0"/>
          <w:numId w:val="27"/>
        </w:numPr>
        <w:spacing w:beforeAutospacing="1" w:afterAutospacing="1" w:line="240" w:lineRule="auto"/>
        <w:rPr>
          <w:rFonts w:ascii="Times New Roman" w:eastAsia="Times New Roman" w:hAnsi="Times New Roman" w:cs="Times New Roman"/>
        </w:rPr>
      </w:pPr>
      <w:proofErr w:type="spellStart"/>
      <w:r w:rsidRPr="00FA7E86">
        <w:rPr>
          <w:rFonts w:ascii="Times New Roman" w:eastAsia="Times New Roman" w:hAnsi="Times New Roman" w:cs="Times New Roman"/>
        </w:rPr>
        <w:t>Constellium</w:t>
      </w:r>
      <w:proofErr w:type="spellEnd"/>
      <w:r w:rsidRPr="00FA7E86">
        <w:rPr>
          <w:rFonts w:ascii="Times New Roman" w:eastAsia="Times New Roman" w:hAnsi="Times New Roman" w:cs="Times New Roman"/>
        </w:rPr>
        <w:t xml:space="preserve"> delivered a solid Q2 despite macro uncertainty, particularly in automotive and aerospace markets, with strong cost control and growing packaging volumes supporting performance.</w:t>
      </w:r>
    </w:p>
    <w:p w14:paraId="68FE0266" w14:textId="77777777" w:rsidR="00FA7E86" w:rsidRPr="00FA7E86" w:rsidRDefault="00FA7E86" w:rsidP="00127934">
      <w:pPr>
        <w:numPr>
          <w:ilvl w:val="0"/>
          <w:numId w:val="27"/>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Net income fell to </w:t>
      </w:r>
      <w:r w:rsidRPr="00FA7E86">
        <w:rPr>
          <w:rFonts w:ascii="Times New Roman" w:eastAsia="Times New Roman" w:hAnsi="Times New Roman" w:cs="Times New Roman"/>
          <w:b/>
          <w:bCs/>
        </w:rPr>
        <w:t>€36 million</w:t>
      </w:r>
      <w:r w:rsidRPr="00FA7E86">
        <w:rPr>
          <w:rFonts w:ascii="Times New Roman" w:eastAsia="Times New Roman" w:hAnsi="Times New Roman" w:cs="Times New Roman"/>
        </w:rPr>
        <w:t>, down from €77 million YoY, impacted by weaker aerospace shipments and unfavorable product mix, but adjusted EBITDA was resilient at €146 million.</w:t>
      </w:r>
    </w:p>
    <w:p w14:paraId="73AEFA0A" w14:textId="77777777" w:rsidR="00FA7E86" w:rsidRPr="00FA7E86" w:rsidRDefault="00FA7E86" w:rsidP="00127934">
      <w:pPr>
        <w:numPr>
          <w:ilvl w:val="0"/>
          <w:numId w:val="27"/>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lastRenderedPageBreak/>
        <w:t xml:space="preserve">Shipments totaled </w:t>
      </w:r>
      <w:r w:rsidRPr="00FA7E86">
        <w:rPr>
          <w:rFonts w:ascii="Times New Roman" w:eastAsia="Times New Roman" w:hAnsi="Times New Roman" w:cs="Times New Roman"/>
          <w:b/>
          <w:bCs/>
        </w:rPr>
        <w:t>384,000 tons</w:t>
      </w:r>
      <w:r w:rsidRPr="00FA7E86">
        <w:rPr>
          <w:rFonts w:ascii="Times New Roman" w:eastAsia="Times New Roman" w:hAnsi="Times New Roman" w:cs="Times New Roman"/>
        </w:rPr>
        <w:t>, up 2% YoY, driven by increased packaging volumes. Muscle Shoals, Alabama, was specifically highlighted as contributing to improved operational performance.</w:t>
      </w:r>
    </w:p>
    <w:p w14:paraId="1ABB3C8F" w14:textId="77777777" w:rsidR="00FA7E86" w:rsidRPr="00FA7E86" w:rsidRDefault="00FA7E86" w:rsidP="00127934">
      <w:pPr>
        <w:numPr>
          <w:ilvl w:val="0"/>
          <w:numId w:val="27"/>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Free cash flow reached </w:t>
      </w:r>
      <w:r w:rsidRPr="00FA7E86">
        <w:rPr>
          <w:rFonts w:ascii="Times New Roman" w:eastAsia="Times New Roman" w:hAnsi="Times New Roman" w:cs="Times New Roman"/>
          <w:b/>
          <w:bCs/>
        </w:rPr>
        <w:t>€41 million</w:t>
      </w:r>
      <w:r w:rsidRPr="00FA7E86">
        <w:rPr>
          <w:rFonts w:ascii="Times New Roman" w:eastAsia="Times New Roman" w:hAnsi="Times New Roman" w:cs="Times New Roman"/>
        </w:rPr>
        <w:t xml:space="preserve"> in Q2; full-year FCF guidance was reaffirmed at over €120 million.</w:t>
      </w:r>
    </w:p>
    <w:p w14:paraId="1C0EF538" w14:textId="77777777" w:rsidR="00FA7E86" w:rsidRPr="00FA7E86" w:rsidRDefault="00FA7E86" w:rsidP="00127934">
      <w:pPr>
        <w:numPr>
          <w:ilvl w:val="0"/>
          <w:numId w:val="27"/>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Tariff-related headwinds were partially offset by mitigation efforts, including price pass-throughs and supply-chain realignment, positioning </w:t>
      </w:r>
      <w:proofErr w:type="spellStart"/>
      <w:r w:rsidRPr="00FA7E86">
        <w:rPr>
          <w:rFonts w:ascii="Times New Roman" w:eastAsia="Times New Roman" w:hAnsi="Times New Roman" w:cs="Times New Roman"/>
        </w:rPr>
        <w:t>Constellium</w:t>
      </w:r>
      <w:proofErr w:type="spellEnd"/>
      <w:r w:rsidRPr="00FA7E86">
        <w:rPr>
          <w:rFonts w:ascii="Times New Roman" w:eastAsia="Times New Roman" w:hAnsi="Times New Roman" w:cs="Times New Roman"/>
        </w:rPr>
        <w:t xml:space="preserve"> to benefit from domestic reshoring trends.</w:t>
      </w:r>
    </w:p>
    <w:p w14:paraId="04E232D3" w14:textId="77777777" w:rsidR="00FA7E86" w:rsidRPr="00FA7E86" w:rsidRDefault="00FA7E86" w:rsidP="00127934">
      <w:pPr>
        <w:numPr>
          <w:ilvl w:val="0"/>
          <w:numId w:val="27"/>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The company raised full-year adjusted EBITDA guidance (excluding metal price lag) to </w:t>
      </w:r>
      <w:r w:rsidRPr="00FA7E86">
        <w:rPr>
          <w:rFonts w:ascii="Times New Roman" w:eastAsia="Times New Roman" w:hAnsi="Times New Roman" w:cs="Times New Roman"/>
          <w:b/>
          <w:bCs/>
        </w:rPr>
        <w:t>€620–€650 million</w:t>
      </w:r>
      <w:r w:rsidRPr="00FA7E86">
        <w:rPr>
          <w:rFonts w:ascii="Times New Roman" w:eastAsia="Times New Roman" w:hAnsi="Times New Roman" w:cs="Times New Roman"/>
        </w:rPr>
        <w:t>, reflecting confidence in second-half pricing and scrap spread improvements.</w:t>
      </w:r>
    </w:p>
    <w:p w14:paraId="74C47515" w14:textId="77777777" w:rsidR="00FA7E86" w:rsidRPr="00FA7E86" w:rsidRDefault="00FA7E86" w:rsidP="00FA7E86">
      <w:p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b/>
          <w:bCs/>
        </w:rPr>
        <w:t>Financial Highlights</w:t>
      </w:r>
    </w:p>
    <w:p w14:paraId="2FCC9BD1" w14:textId="77777777" w:rsidR="00FA7E86" w:rsidRPr="00FA7E86" w:rsidRDefault="00FA7E86" w:rsidP="00127934">
      <w:pPr>
        <w:numPr>
          <w:ilvl w:val="0"/>
          <w:numId w:val="28"/>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Revenue: </w:t>
      </w:r>
      <w:r w:rsidRPr="00FA7E86">
        <w:rPr>
          <w:rFonts w:ascii="Times New Roman" w:eastAsia="Times New Roman" w:hAnsi="Times New Roman" w:cs="Times New Roman"/>
          <w:b/>
          <w:bCs/>
        </w:rPr>
        <w:t>€1.81 billion</w:t>
      </w:r>
      <w:r w:rsidRPr="00FA7E86">
        <w:rPr>
          <w:rFonts w:ascii="Times New Roman" w:eastAsia="Times New Roman" w:hAnsi="Times New Roman" w:cs="Times New Roman"/>
        </w:rPr>
        <w:t xml:space="preserve">, up </w:t>
      </w:r>
      <w:r w:rsidRPr="00FA7E86">
        <w:rPr>
          <w:rFonts w:ascii="Times New Roman" w:eastAsia="Times New Roman" w:hAnsi="Times New Roman" w:cs="Times New Roman"/>
          <w:b/>
          <w:bCs/>
        </w:rPr>
        <w:t>2.3% YoY</w:t>
      </w:r>
      <w:r w:rsidRPr="00FA7E86">
        <w:rPr>
          <w:rFonts w:ascii="Times New Roman" w:eastAsia="Times New Roman" w:hAnsi="Times New Roman" w:cs="Times New Roman"/>
        </w:rPr>
        <w:t>, driven by higher shipments and improved price/mix dynamics.</w:t>
      </w:r>
    </w:p>
    <w:p w14:paraId="57827E0F" w14:textId="77777777" w:rsidR="00FA7E86" w:rsidRPr="00FA7E86" w:rsidRDefault="00FA7E86" w:rsidP="00127934">
      <w:pPr>
        <w:numPr>
          <w:ilvl w:val="0"/>
          <w:numId w:val="28"/>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GAAP EPS: </w:t>
      </w:r>
      <w:r w:rsidRPr="00FA7E86">
        <w:rPr>
          <w:rFonts w:ascii="Times New Roman" w:eastAsia="Times New Roman" w:hAnsi="Times New Roman" w:cs="Times New Roman"/>
          <w:b/>
          <w:bCs/>
        </w:rPr>
        <w:t>€0.22</w:t>
      </w:r>
      <w:r w:rsidRPr="00FA7E86">
        <w:rPr>
          <w:rFonts w:ascii="Times New Roman" w:eastAsia="Times New Roman" w:hAnsi="Times New Roman" w:cs="Times New Roman"/>
        </w:rPr>
        <w:t>, missed consensus of €0.27 by ~19% due to one-time impacts including non-cash metal price lag.</w:t>
      </w:r>
    </w:p>
    <w:p w14:paraId="442AFD2F" w14:textId="77777777" w:rsidR="00FA7E86" w:rsidRPr="00FA7E86" w:rsidRDefault="00FA7E86" w:rsidP="00127934">
      <w:pPr>
        <w:numPr>
          <w:ilvl w:val="0"/>
          <w:numId w:val="28"/>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Adjusted EBITDA: </w:t>
      </w:r>
      <w:r w:rsidRPr="00FA7E86">
        <w:rPr>
          <w:rFonts w:ascii="Times New Roman" w:eastAsia="Times New Roman" w:hAnsi="Times New Roman" w:cs="Times New Roman"/>
          <w:b/>
          <w:bCs/>
        </w:rPr>
        <w:t>€146 million</w:t>
      </w:r>
      <w:r w:rsidRPr="00FA7E86">
        <w:rPr>
          <w:rFonts w:ascii="Times New Roman" w:eastAsia="Times New Roman" w:hAnsi="Times New Roman" w:cs="Times New Roman"/>
        </w:rPr>
        <w:t xml:space="preserve">, or €159 million excluding a </w:t>
      </w:r>
      <w:r w:rsidRPr="00FA7E86">
        <w:rPr>
          <w:rFonts w:ascii="Times New Roman" w:eastAsia="Times New Roman" w:hAnsi="Times New Roman" w:cs="Times New Roman"/>
          <w:b/>
          <w:bCs/>
        </w:rPr>
        <w:t>€13 million</w:t>
      </w:r>
      <w:r w:rsidRPr="00FA7E86">
        <w:rPr>
          <w:rFonts w:ascii="Times New Roman" w:eastAsia="Times New Roman" w:hAnsi="Times New Roman" w:cs="Times New Roman"/>
        </w:rPr>
        <w:t xml:space="preserve"> non-cash metal price lag; down slightly YoY (€180M).</w:t>
      </w:r>
    </w:p>
    <w:p w14:paraId="403FD7F4" w14:textId="77777777" w:rsidR="00FA7E86" w:rsidRPr="00FA7E86" w:rsidRDefault="00FA7E86" w:rsidP="00127934">
      <w:pPr>
        <w:numPr>
          <w:ilvl w:val="0"/>
          <w:numId w:val="28"/>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Free cash flow: </w:t>
      </w:r>
      <w:r w:rsidRPr="00FA7E86">
        <w:rPr>
          <w:rFonts w:ascii="Times New Roman" w:eastAsia="Times New Roman" w:hAnsi="Times New Roman" w:cs="Times New Roman"/>
          <w:b/>
          <w:bCs/>
        </w:rPr>
        <w:t>€41 million</w:t>
      </w:r>
      <w:r w:rsidRPr="00FA7E86">
        <w:rPr>
          <w:rFonts w:ascii="Times New Roman" w:eastAsia="Times New Roman" w:hAnsi="Times New Roman" w:cs="Times New Roman"/>
        </w:rPr>
        <w:t xml:space="preserve"> in Q2; </w:t>
      </w:r>
      <w:r w:rsidRPr="00FA7E86">
        <w:rPr>
          <w:rFonts w:ascii="Times New Roman" w:eastAsia="Times New Roman" w:hAnsi="Times New Roman" w:cs="Times New Roman"/>
          <w:b/>
          <w:bCs/>
        </w:rPr>
        <w:t>€38 million YTD</w:t>
      </w:r>
      <w:r w:rsidRPr="00FA7E86">
        <w:rPr>
          <w:rFonts w:ascii="Times New Roman" w:eastAsia="Times New Roman" w:hAnsi="Times New Roman" w:cs="Times New Roman"/>
        </w:rPr>
        <w:t>, with full-year target of over €120 million reaffirmed.</w:t>
      </w:r>
    </w:p>
    <w:p w14:paraId="6C4C8A59" w14:textId="77777777" w:rsidR="00FA7E86" w:rsidRPr="00FA7E86" w:rsidRDefault="00FA7E86" w:rsidP="00127934">
      <w:pPr>
        <w:numPr>
          <w:ilvl w:val="0"/>
          <w:numId w:val="28"/>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Capital expenditures forecast: </w:t>
      </w:r>
      <w:r w:rsidRPr="00FA7E86">
        <w:rPr>
          <w:rFonts w:ascii="Times New Roman" w:eastAsia="Times New Roman" w:hAnsi="Times New Roman" w:cs="Times New Roman"/>
          <w:b/>
          <w:bCs/>
        </w:rPr>
        <w:t>€325 million</w:t>
      </w:r>
      <w:r w:rsidRPr="00FA7E86">
        <w:rPr>
          <w:rFonts w:ascii="Times New Roman" w:eastAsia="Times New Roman" w:hAnsi="Times New Roman" w:cs="Times New Roman"/>
        </w:rPr>
        <w:t xml:space="preserve"> for FY25, with FX translation offsetting benefits from planned </w:t>
      </w:r>
      <w:proofErr w:type="spellStart"/>
      <w:r w:rsidRPr="00FA7E86">
        <w:rPr>
          <w:rFonts w:ascii="Times New Roman" w:eastAsia="Times New Roman" w:hAnsi="Times New Roman" w:cs="Times New Roman"/>
        </w:rPr>
        <w:t>CapEx</w:t>
      </w:r>
      <w:proofErr w:type="spellEnd"/>
      <w:r w:rsidRPr="00FA7E86">
        <w:rPr>
          <w:rFonts w:ascii="Times New Roman" w:eastAsia="Times New Roman" w:hAnsi="Times New Roman" w:cs="Times New Roman"/>
        </w:rPr>
        <w:t xml:space="preserve"> reductions.</w:t>
      </w:r>
    </w:p>
    <w:p w14:paraId="4F6468F3" w14:textId="77777777" w:rsidR="00FA7E86" w:rsidRPr="00FA7E86" w:rsidRDefault="00FA7E86" w:rsidP="00127934">
      <w:pPr>
        <w:numPr>
          <w:ilvl w:val="0"/>
          <w:numId w:val="28"/>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Net debt rose to </w:t>
      </w:r>
      <w:r w:rsidRPr="00FA7E86">
        <w:rPr>
          <w:rFonts w:ascii="Times New Roman" w:eastAsia="Times New Roman" w:hAnsi="Times New Roman" w:cs="Times New Roman"/>
          <w:b/>
          <w:bCs/>
        </w:rPr>
        <w:t>€1.9 billion</w:t>
      </w:r>
      <w:r w:rsidRPr="00FA7E86">
        <w:rPr>
          <w:rFonts w:ascii="Times New Roman" w:eastAsia="Times New Roman" w:hAnsi="Times New Roman" w:cs="Times New Roman"/>
        </w:rPr>
        <w:t xml:space="preserve"> (3.6x leverage), largely due to FX effects; company expects leverage to fall to </w:t>
      </w:r>
      <w:r w:rsidRPr="00FA7E86">
        <w:rPr>
          <w:rFonts w:ascii="Times New Roman" w:eastAsia="Times New Roman" w:hAnsi="Times New Roman" w:cs="Times New Roman"/>
          <w:b/>
          <w:bCs/>
        </w:rPr>
        <w:t>≤3x</w:t>
      </w:r>
      <w:r w:rsidRPr="00FA7E86">
        <w:rPr>
          <w:rFonts w:ascii="Times New Roman" w:eastAsia="Times New Roman" w:hAnsi="Times New Roman" w:cs="Times New Roman"/>
        </w:rPr>
        <w:t xml:space="preserve"> by year-end.</w:t>
      </w:r>
    </w:p>
    <w:p w14:paraId="5A1B0C6A" w14:textId="77777777" w:rsidR="00FA7E86" w:rsidRPr="00FA7E86" w:rsidRDefault="00FA7E86" w:rsidP="00FA7E86">
      <w:p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b/>
          <w:bCs/>
        </w:rPr>
        <w:t>Operational Highlights</w:t>
      </w:r>
    </w:p>
    <w:p w14:paraId="5AB82C0D" w14:textId="77777777" w:rsidR="00FA7E86" w:rsidRPr="00FA7E86" w:rsidRDefault="00FA7E86" w:rsidP="00127934">
      <w:pPr>
        <w:numPr>
          <w:ilvl w:val="0"/>
          <w:numId w:val="29"/>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b/>
          <w:bCs/>
        </w:rPr>
        <w:t>Muscle Shoals, Alabama facility</w:t>
      </w:r>
      <w:r w:rsidRPr="00FA7E86">
        <w:rPr>
          <w:rFonts w:ascii="Times New Roman" w:eastAsia="Times New Roman" w:hAnsi="Times New Roman" w:cs="Times New Roman"/>
        </w:rPr>
        <w:t xml:space="preserve"> demonstrated </w:t>
      </w:r>
      <w:r w:rsidRPr="00FA7E86">
        <w:rPr>
          <w:rFonts w:ascii="Times New Roman" w:eastAsia="Times New Roman" w:hAnsi="Times New Roman" w:cs="Times New Roman"/>
          <w:b/>
          <w:bCs/>
        </w:rPr>
        <w:t>improved operational performance</w:t>
      </w:r>
      <w:r w:rsidRPr="00FA7E86">
        <w:rPr>
          <w:rFonts w:ascii="Times New Roman" w:eastAsia="Times New Roman" w:hAnsi="Times New Roman" w:cs="Times New Roman"/>
        </w:rPr>
        <w:t>, contributing to strength in the Packaging &amp; Automotive Rolled Products (P&amp;ARP) segment.</w:t>
      </w:r>
    </w:p>
    <w:p w14:paraId="667EDDFD" w14:textId="77777777" w:rsidR="00FA7E86" w:rsidRPr="00FA7E86" w:rsidRDefault="00FA7E86" w:rsidP="00127934">
      <w:pPr>
        <w:numPr>
          <w:ilvl w:val="0"/>
          <w:numId w:val="29"/>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Aerospace and Transportation (A&amp;T) shipments declined </w:t>
      </w:r>
      <w:r w:rsidRPr="00FA7E86">
        <w:rPr>
          <w:rFonts w:ascii="Times New Roman" w:eastAsia="Times New Roman" w:hAnsi="Times New Roman" w:cs="Times New Roman"/>
          <w:b/>
          <w:bCs/>
        </w:rPr>
        <w:t>12%</w:t>
      </w:r>
      <w:r w:rsidRPr="00FA7E86">
        <w:rPr>
          <w:rFonts w:ascii="Times New Roman" w:eastAsia="Times New Roman" w:hAnsi="Times New Roman" w:cs="Times New Roman"/>
        </w:rPr>
        <w:t xml:space="preserve">, reflecting OEM destocking and slow ramp-up in production schedules; adjusted EBITDA fell 13% YoY to </w:t>
      </w:r>
      <w:r w:rsidRPr="00FA7E86">
        <w:rPr>
          <w:rFonts w:ascii="Times New Roman" w:eastAsia="Times New Roman" w:hAnsi="Times New Roman" w:cs="Times New Roman"/>
          <w:b/>
          <w:bCs/>
        </w:rPr>
        <w:t>€78 million</w:t>
      </w:r>
      <w:r w:rsidRPr="00FA7E86">
        <w:rPr>
          <w:rFonts w:ascii="Times New Roman" w:eastAsia="Times New Roman" w:hAnsi="Times New Roman" w:cs="Times New Roman"/>
        </w:rPr>
        <w:t>.</w:t>
      </w:r>
    </w:p>
    <w:p w14:paraId="2C172900" w14:textId="77777777" w:rsidR="00FA7E86" w:rsidRPr="00FA7E86" w:rsidRDefault="00FA7E86" w:rsidP="00127934">
      <w:pPr>
        <w:numPr>
          <w:ilvl w:val="0"/>
          <w:numId w:val="29"/>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Automotive Structural &amp; Industry (AS&amp;I) segment saw 12% drop in auto volumes, partially offset by higher industrial shipments; adjusted EBITDA declined </w:t>
      </w:r>
      <w:r w:rsidRPr="00FA7E86">
        <w:rPr>
          <w:rFonts w:ascii="Times New Roman" w:eastAsia="Times New Roman" w:hAnsi="Times New Roman" w:cs="Times New Roman"/>
          <w:b/>
          <w:bCs/>
        </w:rPr>
        <w:t>40% YoY</w:t>
      </w:r>
      <w:r w:rsidRPr="00FA7E86">
        <w:rPr>
          <w:rFonts w:ascii="Times New Roman" w:eastAsia="Times New Roman" w:hAnsi="Times New Roman" w:cs="Times New Roman"/>
        </w:rPr>
        <w:t xml:space="preserve"> to €18 million.</w:t>
      </w:r>
    </w:p>
    <w:p w14:paraId="0F8CA2AB" w14:textId="77777777" w:rsidR="00FA7E86" w:rsidRPr="00FA7E86" w:rsidRDefault="00FA7E86" w:rsidP="00127934">
      <w:pPr>
        <w:numPr>
          <w:ilvl w:val="0"/>
          <w:numId w:val="29"/>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Packaging segment volumes rose </w:t>
      </w:r>
      <w:r w:rsidRPr="00FA7E86">
        <w:rPr>
          <w:rFonts w:ascii="Times New Roman" w:eastAsia="Times New Roman" w:hAnsi="Times New Roman" w:cs="Times New Roman"/>
          <w:b/>
          <w:bCs/>
        </w:rPr>
        <w:t>14%</w:t>
      </w:r>
      <w:r w:rsidRPr="00FA7E86">
        <w:rPr>
          <w:rFonts w:ascii="Times New Roman" w:eastAsia="Times New Roman" w:hAnsi="Times New Roman" w:cs="Times New Roman"/>
        </w:rPr>
        <w:t xml:space="preserve">, especially in North America, underpinned by </w:t>
      </w:r>
      <w:proofErr w:type="spellStart"/>
      <w:r w:rsidRPr="00FA7E86">
        <w:rPr>
          <w:rFonts w:ascii="Times New Roman" w:eastAsia="Times New Roman" w:hAnsi="Times New Roman" w:cs="Times New Roman"/>
        </w:rPr>
        <w:t>can</w:t>
      </w:r>
      <w:proofErr w:type="spellEnd"/>
      <w:r w:rsidRPr="00FA7E86">
        <w:rPr>
          <w:rFonts w:ascii="Times New Roman" w:eastAsia="Times New Roman" w:hAnsi="Times New Roman" w:cs="Times New Roman"/>
        </w:rPr>
        <w:t xml:space="preserve"> makers’ capacity growth and sustainability-driven demand shifts.</w:t>
      </w:r>
    </w:p>
    <w:p w14:paraId="21494068" w14:textId="77777777" w:rsidR="00FA7E86" w:rsidRPr="00FA7E86" w:rsidRDefault="00FA7E86" w:rsidP="00127934">
      <w:pPr>
        <w:numPr>
          <w:ilvl w:val="0"/>
          <w:numId w:val="29"/>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Share buybacks continued, with </w:t>
      </w:r>
      <w:r w:rsidRPr="00FA7E86">
        <w:rPr>
          <w:rFonts w:ascii="Times New Roman" w:eastAsia="Times New Roman" w:hAnsi="Times New Roman" w:cs="Times New Roman"/>
          <w:b/>
          <w:bCs/>
        </w:rPr>
        <w:t>3.4 million shares repurchased</w:t>
      </w:r>
      <w:r w:rsidRPr="00FA7E86">
        <w:rPr>
          <w:rFonts w:ascii="Times New Roman" w:eastAsia="Times New Roman" w:hAnsi="Times New Roman" w:cs="Times New Roman"/>
        </w:rPr>
        <w:t xml:space="preserve"> in Q2 (~€35 million); €171 million </w:t>
      </w:r>
      <w:proofErr w:type="gramStart"/>
      <w:r w:rsidRPr="00FA7E86">
        <w:rPr>
          <w:rFonts w:ascii="Times New Roman" w:eastAsia="Times New Roman" w:hAnsi="Times New Roman" w:cs="Times New Roman"/>
        </w:rPr>
        <w:t>remains</w:t>
      </w:r>
      <w:proofErr w:type="gramEnd"/>
      <w:r w:rsidRPr="00FA7E86">
        <w:rPr>
          <w:rFonts w:ascii="Times New Roman" w:eastAsia="Times New Roman" w:hAnsi="Times New Roman" w:cs="Times New Roman"/>
        </w:rPr>
        <w:t xml:space="preserve"> under </w:t>
      </w:r>
      <w:proofErr w:type="gramStart"/>
      <w:r w:rsidRPr="00FA7E86">
        <w:rPr>
          <w:rFonts w:ascii="Times New Roman" w:eastAsia="Times New Roman" w:hAnsi="Times New Roman" w:cs="Times New Roman"/>
        </w:rPr>
        <w:t>the repurchase</w:t>
      </w:r>
      <w:proofErr w:type="gramEnd"/>
      <w:r w:rsidRPr="00FA7E86">
        <w:rPr>
          <w:rFonts w:ascii="Times New Roman" w:eastAsia="Times New Roman" w:hAnsi="Times New Roman" w:cs="Times New Roman"/>
        </w:rPr>
        <w:t xml:space="preserve"> authorization.</w:t>
      </w:r>
    </w:p>
    <w:p w14:paraId="123897CC" w14:textId="77777777" w:rsidR="00FA7E86" w:rsidRPr="00FA7E86" w:rsidRDefault="00FA7E86" w:rsidP="00FA7E86">
      <w:p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b/>
          <w:bCs/>
        </w:rPr>
        <w:t>Business Expansions &amp; Capital Expenditure Plans</w:t>
      </w:r>
    </w:p>
    <w:p w14:paraId="20242190" w14:textId="77777777" w:rsidR="00FA7E86" w:rsidRPr="00FA7E86" w:rsidRDefault="00FA7E86" w:rsidP="00127934">
      <w:pPr>
        <w:numPr>
          <w:ilvl w:val="0"/>
          <w:numId w:val="30"/>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FY2025 </w:t>
      </w:r>
      <w:proofErr w:type="spellStart"/>
      <w:r w:rsidRPr="00FA7E86">
        <w:rPr>
          <w:rFonts w:ascii="Times New Roman" w:eastAsia="Times New Roman" w:hAnsi="Times New Roman" w:cs="Times New Roman"/>
        </w:rPr>
        <w:t>CapEx</w:t>
      </w:r>
      <w:proofErr w:type="spellEnd"/>
      <w:r w:rsidRPr="00FA7E86">
        <w:rPr>
          <w:rFonts w:ascii="Times New Roman" w:eastAsia="Times New Roman" w:hAnsi="Times New Roman" w:cs="Times New Roman"/>
        </w:rPr>
        <w:t xml:space="preserve"> of </w:t>
      </w:r>
      <w:r w:rsidRPr="00FA7E86">
        <w:rPr>
          <w:rFonts w:ascii="Times New Roman" w:eastAsia="Times New Roman" w:hAnsi="Times New Roman" w:cs="Times New Roman"/>
          <w:b/>
          <w:bCs/>
        </w:rPr>
        <w:t>€325 million</w:t>
      </w:r>
      <w:r w:rsidRPr="00FA7E86">
        <w:rPr>
          <w:rFonts w:ascii="Times New Roman" w:eastAsia="Times New Roman" w:hAnsi="Times New Roman" w:cs="Times New Roman"/>
        </w:rPr>
        <w:t xml:space="preserve"> includes:</w:t>
      </w:r>
    </w:p>
    <w:p w14:paraId="25284A7C" w14:textId="77777777" w:rsidR="00FA7E86" w:rsidRPr="00FA7E86" w:rsidRDefault="00FA7E86" w:rsidP="00127934">
      <w:pPr>
        <w:numPr>
          <w:ilvl w:val="1"/>
          <w:numId w:val="30"/>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Operational investments to expand packaging capacity and improve reliability in key plants including </w:t>
      </w:r>
      <w:r w:rsidRPr="00FA7E86">
        <w:rPr>
          <w:rFonts w:ascii="Times New Roman" w:eastAsia="Times New Roman" w:hAnsi="Times New Roman" w:cs="Times New Roman"/>
          <w:b/>
          <w:bCs/>
        </w:rPr>
        <w:t>Muscle Shoals</w:t>
      </w:r>
      <w:r w:rsidRPr="00FA7E86">
        <w:rPr>
          <w:rFonts w:ascii="Times New Roman" w:eastAsia="Times New Roman" w:hAnsi="Times New Roman" w:cs="Times New Roman"/>
        </w:rPr>
        <w:t>.</w:t>
      </w:r>
    </w:p>
    <w:p w14:paraId="15BE413B" w14:textId="77777777" w:rsidR="00FA7E86" w:rsidRPr="00FA7E86" w:rsidRDefault="00FA7E86" w:rsidP="00127934">
      <w:pPr>
        <w:numPr>
          <w:ilvl w:val="1"/>
          <w:numId w:val="30"/>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ERP and IT system upgrades to streamline logistics and procurement.</w:t>
      </w:r>
    </w:p>
    <w:p w14:paraId="3ED9212B" w14:textId="77777777" w:rsidR="00FA7E86" w:rsidRPr="00FA7E86" w:rsidRDefault="00FA7E86" w:rsidP="00127934">
      <w:pPr>
        <w:numPr>
          <w:ilvl w:val="1"/>
          <w:numId w:val="30"/>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Productivity-enhancing upgrades at key extrusion and rolling mills.</w:t>
      </w:r>
    </w:p>
    <w:p w14:paraId="2ADA32F5" w14:textId="77777777" w:rsidR="00FA7E86" w:rsidRPr="00FA7E86" w:rsidRDefault="00FA7E86" w:rsidP="00127934">
      <w:pPr>
        <w:numPr>
          <w:ilvl w:val="0"/>
          <w:numId w:val="30"/>
        </w:numPr>
        <w:spacing w:beforeAutospacing="1" w:afterAutospacing="1" w:line="240" w:lineRule="auto"/>
        <w:rPr>
          <w:rFonts w:ascii="Times New Roman" w:eastAsia="Times New Roman" w:hAnsi="Times New Roman" w:cs="Times New Roman"/>
        </w:rPr>
      </w:pPr>
      <w:proofErr w:type="spellStart"/>
      <w:r w:rsidRPr="00FA7E86">
        <w:rPr>
          <w:rFonts w:ascii="Times New Roman" w:eastAsia="Times New Roman" w:hAnsi="Times New Roman" w:cs="Times New Roman"/>
        </w:rPr>
        <w:t>Constellium’s</w:t>
      </w:r>
      <w:proofErr w:type="spellEnd"/>
      <w:r w:rsidRPr="00FA7E86">
        <w:rPr>
          <w:rFonts w:ascii="Times New Roman" w:eastAsia="Times New Roman" w:hAnsi="Times New Roman" w:cs="Times New Roman"/>
        </w:rPr>
        <w:t xml:space="preserve"> “Vision 25” program remains on track, delivering:</w:t>
      </w:r>
    </w:p>
    <w:p w14:paraId="0FE1ADA9" w14:textId="77777777" w:rsidR="00FA7E86" w:rsidRPr="00FA7E86" w:rsidRDefault="00FA7E86" w:rsidP="00127934">
      <w:pPr>
        <w:numPr>
          <w:ilvl w:val="1"/>
          <w:numId w:val="30"/>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Cost reductions via lower labor expenses and reduced contractor reliance.</w:t>
      </w:r>
    </w:p>
    <w:p w14:paraId="5FCFD8E6" w14:textId="77777777" w:rsidR="00FA7E86" w:rsidRPr="00FA7E86" w:rsidRDefault="00FA7E86" w:rsidP="00127934">
      <w:pPr>
        <w:numPr>
          <w:ilvl w:val="1"/>
          <w:numId w:val="30"/>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Operational efficiencies and material procurement savings.</w:t>
      </w:r>
    </w:p>
    <w:p w14:paraId="43C0EBB6" w14:textId="77777777" w:rsidR="00FA7E86" w:rsidRPr="00FA7E86" w:rsidRDefault="00FA7E86" w:rsidP="00127934">
      <w:pPr>
        <w:numPr>
          <w:ilvl w:val="1"/>
          <w:numId w:val="30"/>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Scrap spread improvements that will benefit </w:t>
      </w:r>
      <w:r w:rsidRPr="00FA7E86">
        <w:rPr>
          <w:rFonts w:ascii="Times New Roman" w:eastAsia="Times New Roman" w:hAnsi="Times New Roman" w:cs="Times New Roman"/>
          <w:b/>
          <w:bCs/>
        </w:rPr>
        <w:t>H2 EBITDA</w:t>
      </w:r>
      <w:r w:rsidRPr="00FA7E86">
        <w:rPr>
          <w:rFonts w:ascii="Times New Roman" w:eastAsia="Times New Roman" w:hAnsi="Times New Roman" w:cs="Times New Roman"/>
        </w:rPr>
        <w:t>, particularly in North America.</w:t>
      </w:r>
    </w:p>
    <w:p w14:paraId="5B1F7E21" w14:textId="77777777" w:rsidR="00FA7E86" w:rsidRPr="00FA7E86" w:rsidRDefault="00FA7E86" w:rsidP="00127934">
      <w:pPr>
        <w:numPr>
          <w:ilvl w:val="0"/>
          <w:numId w:val="30"/>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Company reiterates long-term growth targets:</w:t>
      </w:r>
    </w:p>
    <w:p w14:paraId="6236B019" w14:textId="77777777" w:rsidR="00FA7E86" w:rsidRPr="00FA7E86" w:rsidRDefault="00FA7E86" w:rsidP="00127934">
      <w:pPr>
        <w:numPr>
          <w:ilvl w:val="1"/>
          <w:numId w:val="30"/>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lastRenderedPageBreak/>
        <w:t xml:space="preserve">FY2028 adjusted EBITDA of </w:t>
      </w:r>
      <w:r w:rsidRPr="00FA7E86">
        <w:rPr>
          <w:rFonts w:ascii="Times New Roman" w:eastAsia="Times New Roman" w:hAnsi="Times New Roman" w:cs="Times New Roman"/>
          <w:b/>
          <w:bCs/>
        </w:rPr>
        <w:t>€900 million</w:t>
      </w:r>
      <w:r w:rsidRPr="00FA7E86">
        <w:rPr>
          <w:rFonts w:ascii="Times New Roman" w:eastAsia="Times New Roman" w:hAnsi="Times New Roman" w:cs="Times New Roman"/>
        </w:rPr>
        <w:t xml:space="preserve"> (ex-metal price lag).</w:t>
      </w:r>
    </w:p>
    <w:p w14:paraId="670E8F70" w14:textId="77777777" w:rsidR="00FA7E86" w:rsidRPr="00FA7E86" w:rsidRDefault="00FA7E86" w:rsidP="00127934">
      <w:pPr>
        <w:numPr>
          <w:ilvl w:val="1"/>
          <w:numId w:val="30"/>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Free cash flow of </w:t>
      </w:r>
      <w:r w:rsidRPr="00FA7E86">
        <w:rPr>
          <w:rFonts w:ascii="Times New Roman" w:eastAsia="Times New Roman" w:hAnsi="Times New Roman" w:cs="Times New Roman"/>
          <w:b/>
          <w:bCs/>
        </w:rPr>
        <w:t>€300 million</w:t>
      </w:r>
      <w:r w:rsidRPr="00FA7E86">
        <w:rPr>
          <w:rFonts w:ascii="Times New Roman" w:eastAsia="Times New Roman" w:hAnsi="Times New Roman" w:cs="Times New Roman"/>
        </w:rPr>
        <w:t>.</w:t>
      </w:r>
    </w:p>
    <w:p w14:paraId="34A1AC28" w14:textId="77777777" w:rsidR="00FA7E86" w:rsidRPr="00FA7E86" w:rsidRDefault="00FA7E86" w:rsidP="00FA7E86">
      <w:p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b/>
          <w:bCs/>
        </w:rPr>
        <w:t>Segment Performance &amp; Outlook</w:t>
      </w:r>
    </w:p>
    <w:p w14:paraId="395646A9" w14:textId="77777777" w:rsidR="00FA7E86" w:rsidRPr="00FA7E86" w:rsidRDefault="00FA7E86" w:rsidP="00127934">
      <w:pPr>
        <w:numPr>
          <w:ilvl w:val="0"/>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b/>
          <w:bCs/>
        </w:rPr>
        <w:t>Packaging &amp; Automotive Rolled Products (P&amp;ARP)</w:t>
      </w:r>
      <w:r w:rsidRPr="00FA7E86">
        <w:rPr>
          <w:rFonts w:ascii="Times New Roman" w:eastAsia="Times New Roman" w:hAnsi="Times New Roman" w:cs="Times New Roman"/>
        </w:rPr>
        <w:t>:</w:t>
      </w:r>
    </w:p>
    <w:p w14:paraId="3DE189DA"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Adjusted EBITDA: </w:t>
      </w:r>
      <w:r w:rsidRPr="00FA7E86">
        <w:rPr>
          <w:rFonts w:ascii="Times New Roman" w:eastAsia="Times New Roman" w:hAnsi="Times New Roman" w:cs="Times New Roman"/>
          <w:b/>
          <w:bCs/>
        </w:rPr>
        <w:t>€74 million</w:t>
      </w:r>
      <w:r w:rsidRPr="00FA7E86">
        <w:rPr>
          <w:rFonts w:ascii="Times New Roman" w:eastAsia="Times New Roman" w:hAnsi="Times New Roman" w:cs="Times New Roman"/>
        </w:rPr>
        <w:t xml:space="preserve"> (+12% YoY)</w:t>
      </w:r>
    </w:p>
    <w:p w14:paraId="10723C7A"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Strong volume growth in packaging; Muscle Shoals a standout contributor.</w:t>
      </w:r>
    </w:p>
    <w:p w14:paraId="0986C45A"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Automotive shipments declined 14% due to weak demand in both North America and Europe.</w:t>
      </w:r>
    </w:p>
    <w:p w14:paraId="122774BC"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Tariff-related metal cost headwinds were mitigated through pricing actions and operational savings.</w:t>
      </w:r>
    </w:p>
    <w:p w14:paraId="0EB60114" w14:textId="77777777" w:rsidR="00FA7E86" w:rsidRPr="00FA7E86" w:rsidRDefault="00FA7E86" w:rsidP="00127934">
      <w:pPr>
        <w:numPr>
          <w:ilvl w:val="0"/>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b/>
          <w:bCs/>
        </w:rPr>
        <w:t>Aerospace &amp; Transportation (A&amp;T)</w:t>
      </w:r>
      <w:r w:rsidRPr="00FA7E86">
        <w:rPr>
          <w:rFonts w:ascii="Times New Roman" w:eastAsia="Times New Roman" w:hAnsi="Times New Roman" w:cs="Times New Roman"/>
        </w:rPr>
        <w:t>:</w:t>
      </w:r>
    </w:p>
    <w:p w14:paraId="77541941"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Adjusted EBITDA: </w:t>
      </w:r>
      <w:r w:rsidRPr="00FA7E86">
        <w:rPr>
          <w:rFonts w:ascii="Times New Roman" w:eastAsia="Times New Roman" w:hAnsi="Times New Roman" w:cs="Times New Roman"/>
          <w:b/>
          <w:bCs/>
        </w:rPr>
        <w:t>€78 million</w:t>
      </w:r>
      <w:r w:rsidRPr="00FA7E86">
        <w:rPr>
          <w:rFonts w:ascii="Times New Roman" w:eastAsia="Times New Roman" w:hAnsi="Times New Roman" w:cs="Times New Roman"/>
        </w:rPr>
        <w:t xml:space="preserve"> (−13% YoY)</w:t>
      </w:r>
    </w:p>
    <w:p w14:paraId="7059CD45"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Aerospace shipments </w:t>
      </w:r>
      <w:proofErr w:type="gramStart"/>
      <w:r w:rsidRPr="00FA7E86">
        <w:rPr>
          <w:rFonts w:ascii="Times New Roman" w:eastAsia="Times New Roman" w:hAnsi="Times New Roman" w:cs="Times New Roman"/>
        </w:rPr>
        <w:t>down</w:t>
      </w:r>
      <w:proofErr w:type="gramEnd"/>
      <w:r w:rsidRPr="00FA7E86">
        <w:rPr>
          <w:rFonts w:ascii="Times New Roman" w:eastAsia="Times New Roman" w:hAnsi="Times New Roman" w:cs="Times New Roman"/>
        </w:rPr>
        <w:t xml:space="preserve"> 12% amid OEM destocking and slower build rates.</w:t>
      </w:r>
    </w:p>
    <w:p w14:paraId="4024B73E"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Military and space demand held steady; recovery expected to continue into 2026.</w:t>
      </w:r>
    </w:p>
    <w:p w14:paraId="5B96A402"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Company raised its “through-cycle EBITDA/ton” target for A&amp;T from </w:t>
      </w:r>
      <w:r w:rsidRPr="00FA7E86">
        <w:rPr>
          <w:rFonts w:ascii="Times New Roman" w:eastAsia="Times New Roman" w:hAnsi="Times New Roman" w:cs="Times New Roman"/>
          <w:b/>
          <w:bCs/>
        </w:rPr>
        <w:t>€1,000 to €1,100</w:t>
      </w:r>
      <w:r w:rsidRPr="00FA7E86">
        <w:rPr>
          <w:rFonts w:ascii="Times New Roman" w:eastAsia="Times New Roman" w:hAnsi="Times New Roman" w:cs="Times New Roman"/>
        </w:rPr>
        <w:t>, citing product mix strength.</w:t>
      </w:r>
    </w:p>
    <w:p w14:paraId="3D1EBC70" w14:textId="77777777" w:rsidR="00FA7E86" w:rsidRPr="00FA7E86" w:rsidRDefault="00FA7E86" w:rsidP="00127934">
      <w:pPr>
        <w:numPr>
          <w:ilvl w:val="0"/>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b/>
          <w:bCs/>
        </w:rPr>
        <w:t>Automotive Structures &amp; Industry (AS&amp;I)</w:t>
      </w:r>
      <w:r w:rsidRPr="00FA7E86">
        <w:rPr>
          <w:rFonts w:ascii="Times New Roman" w:eastAsia="Times New Roman" w:hAnsi="Times New Roman" w:cs="Times New Roman"/>
        </w:rPr>
        <w:t>:</w:t>
      </w:r>
    </w:p>
    <w:p w14:paraId="5F2FFB1D"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 xml:space="preserve">Adjusted EBITDA: </w:t>
      </w:r>
      <w:r w:rsidRPr="00FA7E86">
        <w:rPr>
          <w:rFonts w:ascii="Times New Roman" w:eastAsia="Times New Roman" w:hAnsi="Times New Roman" w:cs="Times New Roman"/>
          <w:b/>
          <w:bCs/>
        </w:rPr>
        <w:t>€18 million</w:t>
      </w:r>
      <w:r w:rsidRPr="00FA7E86">
        <w:rPr>
          <w:rFonts w:ascii="Times New Roman" w:eastAsia="Times New Roman" w:hAnsi="Times New Roman" w:cs="Times New Roman"/>
        </w:rPr>
        <w:t xml:space="preserve"> (−40% YoY)</w:t>
      </w:r>
    </w:p>
    <w:p w14:paraId="4EC16CFD"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Auto volumes fell 12%; recovery in industry segment (+14% YoY) helped soften impact.</w:t>
      </w:r>
    </w:p>
    <w:p w14:paraId="6D7EFD80"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Europe and NA saw continued weakness in premium and EV vehicle markets.</w:t>
      </w:r>
    </w:p>
    <w:p w14:paraId="3BCFFE4D"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Segment is undergoing cost optimization and realignment to recover margins.</w:t>
      </w:r>
    </w:p>
    <w:p w14:paraId="355BB1E8" w14:textId="77777777" w:rsidR="00FA7E86" w:rsidRPr="00FA7E86" w:rsidRDefault="00FA7E86" w:rsidP="00127934">
      <w:pPr>
        <w:numPr>
          <w:ilvl w:val="0"/>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b/>
          <w:bCs/>
        </w:rPr>
        <w:t>Outlook</w:t>
      </w:r>
      <w:r w:rsidRPr="00FA7E86">
        <w:rPr>
          <w:rFonts w:ascii="Times New Roman" w:eastAsia="Times New Roman" w:hAnsi="Times New Roman" w:cs="Times New Roman"/>
        </w:rPr>
        <w:t>:</w:t>
      </w:r>
    </w:p>
    <w:p w14:paraId="19C4D445"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Aerospace demand is stabilizing; long-term fundamentals (passenger growth, OEM backlogs) remain strong.</w:t>
      </w:r>
    </w:p>
    <w:p w14:paraId="2F101D61"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Packaging expected to grow mid-single digits YoY in North America and Europe, aided by sustainability tailwinds.</w:t>
      </w:r>
    </w:p>
    <w:p w14:paraId="1843E290"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Auto market remains soft, especially in Europe; tariffs could pressure EV sales and high-end OEM orders.</w:t>
      </w:r>
    </w:p>
    <w:p w14:paraId="7F577D5C" w14:textId="77777777" w:rsidR="00FA7E86" w:rsidRPr="00FA7E86" w:rsidRDefault="00FA7E86" w:rsidP="00127934">
      <w:pPr>
        <w:numPr>
          <w:ilvl w:val="1"/>
          <w:numId w:val="31"/>
        </w:numPr>
        <w:spacing w:beforeAutospacing="1" w:afterAutospacing="1" w:line="240" w:lineRule="auto"/>
        <w:rPr>
          <w:rFonts w:ascii="Times New Roman" w:eastAsia="Times New Roman" w:hAnsi="Times New Roman" w:cs="Times New Roman"/>
        </w:rPr>
      </w:pPr>
      <w:proofErr w:type="spellStart"/>
      <w:r w:rsidRPr="00FA7E86">
        <w:rPr>
          <w:rFonts w:ascii="Times New Roman" w:eastAsia="Times New Roman" w:hAnsi="Times New Roman" w:cs="Times New Roman"/>
        </w:rPr>
        <w:t>Constellium</w:t>
      </w:r>
      <w:proofErr w:type="spellEnd"/>
      <w:r w:rsidRPr="00FA7E86">
        <w:rPr>
          <w:rFonts w:ascii="Times New Roman" w:eastAsia="Times New Roman" w:hAnsi="Times New Roman" w:cs="Times New Roman"/>
        </w:rPr>
        <w:t xml:space="preserve"> expects stronger H2, driven by:</w:t>
      </w:r>
    </w:p>
    <w:p w14:paraId="5A712476" w14:textId="77777777" w:rsidR="00FA7E86" w:rsidRPr="00FA7E86" w:rsidRDefault="00FA7E86" w:rsidP="00127934">
      <w:pPr>
        <w:numPr>
          <w:ilvl w:val="2"/>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Scrap cost benefits</w:t>
      </w:r>
    </w:p>
    <w:p w14:paraId="4190AE64" w14:textId="77777777" w:rsidR="00FA7E86" w:rsidRPr="00FA7E86" w:rsidRDefault="00FA7E86" w:rsidP="00127934">
      <w:pPr>
        <w:numPr>
          <w:ilvl w:val="2"/>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Operational ramp-up in Valais</w:t>
      </w:r>
    </w:p>
    <w:p w14:paraId="667EFEE7" w14:textId="77777777" w:rsidR="00FA7E86" w:rsidRPr="00FA7E86" w:rsidRDefault="00FA7E86" w:rsidP="00127934">
      <w:pPr>
        <w:numPr>
          <w:ilvl w:val="2"/>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Tariff mitigation impacts</w:t>
      </w:r>
    </w:p>
    <w:p w14:paraId="3105D62F" w14:textId="77777777" w:rsidR="00FA7E86" w:rsidRPr="00FA7E86" w:rsidRDefault="00FA7E86" w:rsidP="00127934">
      <w:pPr>
        <w:numPr>
          <w:ilvl w:val="2"/>
          <w:numId w:val="31"/>
        </w:numPr>
        <w:spacing w:beforeAutospacing="1" w:afterAutospacing="1" w:line="240" w:lineRule="auto"/>
        <w:rPr>
          <w:rFonts w:ascii="Times New Roman" w:eastAsia="Times New Roman" w:hAnsi="Times New Roman" w:cs="Times New Roman"/>
        </w:rPr>
      </w:pPr>
      <w:r w:rsidRPr="00FA7E86">
        <w:rPr>
          <w:rFonts w:ascii="Times New Roman" w:eastAsia="Times New Roman" w:hAnsi="Times New Roman" w:cs="Times New Roman"/>
        </w:rPr>
        <w:t>Strong packaging demand and Muscle Shoals productivity improvements</w:t>
      </w:r>
    </w:p>
    <w:p w14:paraId="5A9F2A38" w14:textId="77777777" w:rsidR="00FA7E86" w:rsidRPr="00BC0D8E" w:rsidRDefault="00FA7E86" w:rsidP="2535092B">
      <w:pPr>
        <w:spacing w:beforeAutospacing="1" w:afterAutospacing="1" w:line="240" w:lineRule="auto"/>
        <w:rPr>
          <w:rFonts w:ascii="Times New Roman" w:eastAsia="Times New Roman" w:hAnsi="Times New Roman" w:cs="Times New Roman"/>
        </w:rPr>
      </w:pPr>
    </w:p>
    <w:p w14:paraId="683BE0E1" w14:textId="08ED64C1"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5D3B3943" w14:textId="3E453D7C"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6A038B27" w14:textId="77777777" w:rsidR="008B733A" w:rsidRPr="00BC0D8E" w:rsidRDefault="34354836" w:rsidP="008B733A">
      <w:pPr>
        <w:pStyle w:val="Heading2"/>
        <w:rPr>
          <w:rFonts w:cs="Times New Roman"/>
        </w:rPr>
      </w:pPr>
      <w:bookmarkStart w:id="39" w:name="_Toc147824661"/>
      <w:bookmarkStart w:id="40" w:name="_Toc212796746"/>
      <w:r w:rsidRPr="2535092B">
        <w:rPr>
          <w:rFonts w:cs="Times New Roman"/>
        </w:rPr>
        <w:t>Evonik (</w:t>
      </w:r>
      <w:proofErr w:type="gramStart"/>
      <w:r w:rsidRPr="2535092B">
        <w:rPr>
          <w:rFonts w:cs="Times New Roman"/>
        </w:rPr>
        <w:t>XTRA:EVK</w:t>
      </w:r>
      <w:proofErr w:type="gramEnd"/>
      <w:r w:rsidRPr="2535092B">
        <w:rPr>
          <w:rFonts w:cs="Times New Roman"/>
        </w:rPr>
        <w:t>)</w:t>
      </w:r>
      <w:bookmarkEnd w:id="39"/>
      <w:bookmarkEnd w:id="40"/>
      <w:r w:rsidRPr="2535092B">
        <w:rPr>
          <w:rFonts w:cs="Times New Roman"/>
        </w:rPr>
        <w:t xml:space="preserve"> </w:t>
      </w:r>
    </w:p>
    <w:p w14:paraId="24FE3A13" w14:textId="79525BE0" w:rsidR="008B733A" w:rsidRPr="00BC0D8E" w:rsidRDefault="006E300D" w:rsidP="2535092B">
      <w:pPr>
        <w:pStyle w:val="Heading3"/>
        <w:rPr>
          <w:rFonts w:cs="Times New Roman"/>
          <w:color w:val="00B050"/>
        </w:rPr>
      </w:pPr>
      <w:bookmarkStart w:id="41" w:name="_Toc147824662"/>
      <w:bookmarkStart w:id="42" w:name="_Toc212796747"/>
      <w:r w:rsidRPr="35ADD9A1">
        <w:rPr>
          <w:rFonts w:cs="Times New Roman"/>
        </w:rPr>
        <w:t xml:space="preserve">Outlook: </w:t>
      </w:r>
      <w:bookmarkEnd w:id="41"/>
      <w:r w:rsidR="00CE1784">
        <w:rPr>
          <w:rFonts w:cs="Times New Roman"/>
        </w:rPr>
        <w:t>Neutral</w:t>
      </w:r>
      <w:bookmarkEnd w:id="42"/>
    </w:p>
    <w:p w14:paraId="4806BBC0" w14:textId="72FF960D" w:rsidR="008B733A" w:rsidRPr="00BC0D8E" w:rsidRDefault="006E300D" w:rsidP="3CA273EB">
      <w:pPr>
        <w:pStyle w:val="Heading3"/>
        <w:rPr>
          <w:rFonts w:cs="Times New Roman"/>
          <w:color w:val="00B050"/>
        </w:rPr>
      </w:pPr>
      <w:bookmarkStart w:id="43" w:name="_Toc147824663"/>
      <w:bookmarkStart w:id="44" w:name="_Toc212796748"/>
      <w:r w:rsidRPr="35ADD9A1">
        <w:rPr>
          <w:rFonts w:cs="Times New Roman"/>
        </w:rPr>
        <w:t xml:space="preserve">AL Outlook: </w:t>
      </w:r>
      <w:bookmarkEnd w:id="43"/>
      <w:r w:rsidR="00CE1784">
        <w:rPr>
          <w:rFonts w:cs="Times New Roman"/>
        </w:rPr>
        <w:t>Neutral</w:t>
      </w:r>
      <w:bookmarkEnd w:id="44"/>
    </w:p>
    <w:p w14:paraId="455D8E37" w14:textId="54C05EF6" w:rsidR="008B733A" w:rsidRPr="00AF2939" w:rsidRDefault="006E300D" w:rsidP="008B733A">
      <w:pPr>
        <w:rPr>
          <w:rFonts w:ascii="Times New Roman" w:eastAsia="Times New Roman" w:hAnsi="Times New Roman" w:cs="Times New Roman"/>
        </w:rPr>
      </w:pPr>
      <w:r w:rsidRPr="0227D82F">
        <w:rPr>
          <w:rFonts w:ascii="Times New Roman" w:hAnsi="Times New Roman" w:cs="Times New Roman"/>
          <w:b/>
          <w:bCs/>
        </w:rPr>
        <w:t>Recommended Action:</w:t>
      </w:r>
      <w:r w:rsidR="30EFE70A" w:rsidRPr="0227D82F">
        <w:rPr>
          <w:rFonts w:ascii="Times New Roman" w:hAnsi="Times New Roman" w:cs="Times New Roman"/>
          <w:b/>
          <w:bCs/>
        </w:rPr>
        <w:t xml:space="preserve"> </w:t>
      </w:r>
      <w:r w:rsidR="6CA3F1FD" w:rsidRPr="0227D82F">
        <w:rPr>
          <w:rFonts w:ascii="Times New Roman" w:eastAsia="Times New Roman" w:hAnsi="Times New Roman" w:cs="Times New Roman"/>
        </w:rPr>
        <w:t>Engage Birmingham leadership to explore potential for future investment that will support U.S. East Coast Demand.</w:t>
      </w:r>
    </w:p>
    <w:p w14:paraId="02B09226" w14:textId="1BD215CB" w:rsidR="00F71615" w:rsidRPr="00BC0D8E" w:rsidRDefault="0DE63613" w:rsidP="3CA273EB">
      <w:pPr>
        <w:spacing w:beforeAutospacing="1" w:afterAutospacing="1" w:line="240" w:lineRule="auto"/>
        <w:rPr>
          <w:rFonts w:ascii="Calibri" w:eastAsia="Calibri" w:hAnsi="Calibri" w:cs="Calibri"/>
        </w:rPr>
      </w:pPr>
      <w:r w:rsidRPr="2535092B">
        <w:rPr>
          <w:rFonts w:ascii="Times New Roman" w:eastAsia="Times New Roman" w:hAnsi="Times New Roman" w:cs="Times New Roman"/>
          <w:b/>
          <w:bCs/>
          <w:color w:val="000000" w:themeColor="text1"/>
        </w:rPr>
        <w:lastRenderedPageBreak/>
        <w:t>Alabama Location(s)</w:t>
      </w:r>
      <w:r w:rsidRPr="2535092B">
        <w:rPr>
          <w:rFonts w:ascii="Times New Roman" w:eastAsia="Times New Roman" w:hAnsi="Times New Roman" w:cs="Times New Roman"/>
          <w:color w:val="000000" w:themeColor="text1"/>
        </w:rPr>
        <w:t>: Mobile: Methionine Production Plant; Birmingham: Competence Center for Medical Devices</w:t>
      </w:r>
    </w:p>
    <w:p w14:paraId="2A87EB3B" w14:textId="77777777" w:rsidR="00A045D5" w:rsidRPr="00A045D5" w:rsidRDefault="00A045D5" w:rsidP="00A045D5">
      <w:p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Key Takeaways</w:t>
      </w:r>
    </w:p>
    <w:p w14:paraId="3B580509" w14:textId="77777777" w:rsidR="00A045D5" w:rsidRPr="00A045D5" w:rsidRDefault="00A045D5" w:rsidP="00127934">
      <w:pPr>
        <w:numPr>
          <w:ilvl w:val="0"/>
          <w:numId w:val="32"/>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Evonik reported stable Q2 results amid ongoing macroeconomic headwinds, with early signs of demand recovery in key markets like animal nutrition, personal care, and life sciences.</w:t>
      </w:r>
    </w:p>
    <w:p w14:paraId="3AC5F280" w14:textId="77777777" w:rsidR="00A045D5" w:rsidRPr="00A045D5" w:rsidRDefault="00A045D5" w:rsidP="00127934">
      <w:pPr>
        <w:numPr>
          <w:ilvl w:val="0"/>
          <w:numId w:val="32"/>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Q2 marked the </w:t>
      </w:r>
      <w:r w:rsidRPr="00A045D5">
        <w:rPr>
          <w:rFonts w:ascii="Times New Roman" w:eastAsia="Times New Roman" w:hAnsi="Times New Roman" w:cs="Times New Roman"/>
          <w:b/>
          <w:bCs/>
          <w:color w:val="000000" w:themeColor="text1"/>
        </w:rPr>
        <w:t>third consecutive quarter of volume growth</w:t>
      </w:r>
      <w:r w:rsidRPr="00A045D5">
        <w:rPr>
          <w:rFonts w:ascii="Times New Roman" w:eastAsia="Times New Roman" w:hAnsi="Times New Roman" w:cs="Times New Roman"/>
          <w:color w:val="000000" w:themeColor="text1"/>
        </w:rPr>
        <w:t>, suggesting that destocking is largely complete across most customer industries.</w:t>
      </w:r>
    </w:p>
    <w:p w14:paraId="56F4F63C" w14:textId="77777777" w:rsidR="00A045D5" w:rsidRPr="00A045D5" w:rsidRDefault="00A045D5" w:rsidP="00127934">
      <w:pPr>
        <w:numPr>
          <w:ilvl w:val="0"/>
          <w:numId w:val="32"/>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Management reaffirmed full-year guidance and emphasized strong operational execution, pricing discipline, and working capital improvements.</w:t>
      </w:r>
    </w:p>
    <w:p w14:paraId="0E973E8E" w14:textId="77777777" w:rsidR="00A045D5" w:rsidRPr="00A045D5" w:rsidRDefault="00A045D5" w:rsidP="00127934">
      <w:pPr>
        <w:numPr>
          <w:ilvl w:val="0"/>
          <w:numId w:val="32"/>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The company continued to execute its </w:t>
      </w:r>
      <w:r w:rsidRPr="00A045D5">
        <w:rPr>
          <w:rFonts w:ascii="Times New Roman" w:eastAsia="Times New Roman" w:hAnsi="Times New Roman" w:cs="Times New Roman"/>
          <w:b/>
          <w:bCs/>
          <w:color w:val="000000" w:themeColor="text1"/>
        </w:rPr>
        <w:t>"Next Generation Evonik" transformation strategy</w:t>
      </w:r>
      <w:r w:rsidRPr="00A045D5">
        <w:rPr>
          <w:rFonts w:ascii="Times New Roman" w:eastAsia="Times New Roman" w:hAnsi="Times New Roman" w:cs="Times New Roman"/>
          <w:color w:val="000000" w:themeColor="text1"/>
        </w:rPr>
        <w:t>, including cost reduction, portfolio sharpening, and sustainability investments.</w:t>
      </w:r>
    </w:p>
    <w:p w14:paraId="5B47907F" w14:textId="77777777" w:rsidR="00A045D5" w:rsidRPr="00A045D5" w:rsidRDefault="00A045D5" w:rsidP="00127934">
      <w:pPr>
        <w:numPr>
          <w:ilvl w:val="0"/>
          <w:numId w:val="32"/>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Growth is increasingly focused on </w:t>
      </w:r>
      <w:r w:rsidRPr="00A045D5">
        <w:rPr>
          <w:rFonts w:ascii="Times New Roman" w:eastAsia="Times New Roman" w:hAnsi="Times New Roman" w:cs="Times New Roman"/>
          <w:b/>
          <w:bCs/>
          <w:color w:val="000000" w:themeColor="text1"/>
        </w:rPr>
        <w:t>specialty additives, health &amp; nutrition</w:t>
      </w:r>
      <w:r w:rsidRPr="00A045D5">
        <w:rPr>
          <w:rFonts w:ascii="Times New Roman" w:eastAsia="Times New Roman" w:hAnsi="Times New Roman" w:cs="Times New Roman"/>
          <w:color w:val="000000" w:themeColor="text1"/>
        </w:rPr>
        <w:t xml:space="preserve">, and </w:t>
      </w:r>
      <w:r w:rsidRPr="00A045D5">
        <w:rPr>
          <w:rFonts w:ascii="Times New Roman" w:eastAsia="Times New Roman" w:hAnsi="Times New Roman" w:cs="Times New Roman"/>
          <w:b/>
          <w:bCs/>
          <w:color w:val="000000" w:themeColor="text1"/>
        </w:rPr>
        <w:t>smart materials</w:t>
      </w:r>
      <w:r w:rsidRPr="00A045D5">
        <w:rPr>
          <w:rFonts w:ascii="Times New Roman" w:eastAsia="Times New Roman" w:hAnsi="Times New Roman" w:cs="Times New Roman"/>
          <w:color w:val="000000" w:themeColor="text1"/>
        </w:rPr>
        <w:t>, aligning with production at U.S. facilities — including Alabama.</w:t>
      </w:r>
    </w:p>
    <w:p w14:paraId="637F39D7" w14:textId="77777777" w:rsidR="00A045D5" w:rsidRPr="00A045D5" w:rsidRDefault="00A045D5" w:rsidP="00127934">
      <w:pPr>
        <w:numPr>
          <w:ilvl w:val="0"/>
          <w:numId w:val="32"/>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Alabama operations (not named directly but relevant to the Nutrition &amp; Care and Smart Materials segments) are likely benefiting from strong U.S. demand in animal feed, healthcare, and polymer additives.</w:t>
      </w:r>
    </w:p>
    <w:p w14:paraId="22DAE7EA" w14:textId="77777777" w:rsidR="00A045D5" w:rsidRPr="00A045D5" w:rsidRDefault="00A045D5" w:rsidP="00A045D5">
      <w:p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Financial Highlights</w:t>
      </w:r>
    </w:p>
    <w:p w14:paraId="42FFCAAF" w14:textId="77777777" w:rsidR="00A045D5" w:rsidRPr="00A045D5" w:rsidRDefault="00A045D5" w:rsidP="00127934">
      <w:pPr>
        <w:numPr>
          <w:ilvl w:val="0"/>
          <w:numId w:val="33"/>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Q2 2025 revenue: </w:t>
      </w:r>
      <w:r w:rsidRPr="00A045D5">
        <w:rPr>
          <w:rFonts w:ascii="Times New Roman" w:eastAsia="Times New Roman" w:hAnsi="Times New Roman" w:cs="Times New Roman"/>
          <w:b/>
          <w:bCs/>
          <w:color w:val="000000" w:themeColor="text1"/>
        </w:rPr>
        <w:t>€4.22 billion</w:t>
      </w:r>
      <w:r w:rsidRPr="00A045D5">
        <w:rPr>
          <w:rFonts w:ascii="Times New Roman" w:eastAsia="Times New Roman" w:hAnsi="Times New Roman" w:cs="Times New Roman"/>
          <w:color w:val="000000" w:themeColor="text1"/>
        </w:rPr>
        <w:t xml:space="preserve">, down 1% YoY, but </w:t>
      </w:r>
      <w:r w:rsidRPr="00A045D5">
        <w:rPr>
          <w:rFonts w:ascii="Times New Roman" w:eastAsia="Times New Roman" w:hAnsi="Times New Roman" w:cs="Times New Roman"/>
          <w:b/>
          <w:bCs/>
          <w:color w:val="000000" w:themeColor="text1"/>
        </w:rPr>
        <w:t>volumes increased 4%</w:t>
      </w:r>
      <w:r w:rsidRPr="00A045D5">
        <w:rPr>
          <w:rFonts w:ascii="Times New Roman" w:eastAsia="Times New Roman" w:hAnsi="Times New Roman" w:cs="Times New Roman"/>
          <w:color w:val="000000" w:themeColor="text1"/>
        </w:rPr>
        <w:t>, marking a shift from prior demand-driven declines.</w:t>
      </w:r>
    </w:p>
    <w:p w14:paraId="6A0F6AC5" w14:textId="77777777" w:rsidR="00A045D5" w:rsidRPr="00A045D5" w:rsidRDefault="00A045D5" w:rsidP="00127934">
      <w:pPr>
        <w:numPr>
          <w:ilvl w:val="0"/>
          <w:numId w:val="33"/>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Adjusted EBITDA: </w:t>
      </w:r>
      <w:r w:rsidRPr="00A045D5">
        <w:rPr>
          <w:rFonts w:ascii="Times New Roman" w:eastAsia="Times New Roman" w:hAnsi="Times New Roman" w:cs="Times New Roman"/>
          <w:b/>
          <w:bCs/>
          <w:color w:val="000000" w:themeColor="text1"/>
        </w:rPr>
        <w:t>€604 million</w:t>
      </w:r>
      <w:r w:rsidRPr="00A045D5">
        <w:rPr>
          <w:rFonts w:ascii="Times New Roman" w:eastAsia="Times New Roman" w:hAnsi="Times New Roman" w:cs="Times New Roman"/>
          <w:color w:val="000000" w:themeColor="text1"/>
        </w:rPr>
        <w:t xml:space="preserve">, up 3% YoY; margin improved to </w:t>
      </w:r>
      <w:r w:rsidRPr="00A045D5">
        <w:rPr>
          <w:rFonts w:ascii="Times New Roman" w:eastAsia="Times New Roman" w:hAnsi="Times New Roman" w:cs="Times New Roman"/>
          <w:b/>
          <w:bCs/>
          <w:color w:val="000000" w:themeColor="text1"/>
        </w:rPr>
        <w:t>14.3%</w:t>
      </w:r>
      <w:r w:rsidRPr="00A045D5">
        <w:rPr>
          <w:rFonts w:ascii="Times New Roman" w:eastAsia="Times New Roman" w:hAnsi="Times New Roman" w:cs="Times New Roman"/>
          <w:color w:val="000000" w:themeColor="text1"/>
        </w:rPr>
        <w:t xml:space="preserve"> (from 13.7% in Q2 2024).</w:t>
      </w:r>
    </w:p>
    <w:p w14:paraId="6C80078B" w14:textId="77777777" w:rsidR="00A045D5" w:rsidRPr="00A045D5" w:rsidRDefault="00A045D5" w:rsidP="00127934">
      <w:pPr>
        <w:numPr>
          <w:ilvl w:val="0"/>
          <w:numId w:val="33"/>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Adjusted net income: </w:t>
      </w:r>
      <w:r w:rsidRPr="00A045D5">
        <w:rPr>
          <w:rFonts w:ascii="Times New Roman" w:eastAsia="Times New Roman" w:hAnsi="Times New Roman" w:cs="Times New Roman"/>
          <w:b/>
          <w:bCs/>
          <w:color w:val="000000" w:themeColor="text1"/>
        </w:rPr>
        <w:t>€282 million</w:t>
      </w:r>
      <w:r w:rsidRPr="00A045D5">
        <w:rPr>
          <w:rFonts w:ascii="Times New Roman" w:eastAsia="Times New Roman" w:hAnsi="Times New Roman" w:cs="Times New Roman"/>
          <w:color w:val="000000" w:themeColor="text1"/>
        </w:rPr>
        <w:t xml:space="preserve">, with EPS of </w:t>
      </w:r>
      <w:r w:rsidRPr="00A045D5">
        <w:rPr>
          <w:rFonts w:ascii="Times New Roman" w:eastAsia="Times New Roman" w:hAnsi="Times New Roman" w:cs="Times New Roman"/>
          <w:b/>
          <w:bCs/>
          <w:color w:val="000000" w:themeColor="text1"/>
        </w:rPr>
        <w:t>€0.60</w:t>
      </w:r>
      <w:r w:rsidRPr="00A045D5">
        <w:rPr>
          <w:rFonts w:ascii="Times New Roman" w:eastAsia="Times New Roman" w:hAnsi="Times New Roman" w:cs="Times New Roman"/>
          <w:color w:val="000000" w:themeColor="text1"/>
        </w:rPr>
        <w:t>, in line with guidance.</w:t>
      </w:r>
    </w:p>
    <w:p w14:paraId="06AE42A1" w14:textId="77777777" w:rsidR="00A045D5" w:rsidRPr="00A045D5" w:rsidRDefault="00A045D5" w:rsidP="00127934">
      <w:pPr>
        <w:numPr>
          <w:ilvl w:val="0"/>
          <w:numId w:val="33"/>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Free cash flow: </w:t>
      </w:r>
      <w:r w:rsidRPr="00A045D5">
        <w:rPr>
          <w:rFonts w:ascii="Times New Roman" w:eastAsia="Times New Roman" w:hAnsi="Times New Roman" w:cs="Times New Roman"/>
          <w:b/>
          <w:bCs/>
          <w:color w:val="000000" w:themeColor="text1"/>
        </w:rPr>
        <w:t>€327 million</w:t>
      </w:r>
      <w:r w:rsidRPr="00A045D5">
        <w:rPr>
          <w:rFonts w:ascii="Times New Roman" w:eastAsia="Times New Roman" w:hAnsi="Times New Roman" w:cs="Times New Roman"/>
          <w:color w:val="000000" w:themeColor="text1"/>
        </w:rPr>
        <w:t>, a significant improvement YoY, driven by strong working capital discipline and improved cash conversion.</w:t>
      </w:r>
    </w:p>
    <w:p w14:paraId="663ED9F3" w14:textId="77777777" w:rsidR="00A045D5" w:rsidRPr="00A045D5" w:rsidRDefault="00A045D5" w:rsidP="00127934">
      <w:pPr>
        <w:numPr>
          <w:ilvl w:val="0"/>
          <w:numId w:val="33"/>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Full-year guidance reaffirmed:</w:t>
      </w:r>
    </w:p>
    <w:p w14:paraId="143C39B7" w14:textId="77777777" w:rsidR="00A045D5" w:rsidRPr="00A045D5" w:rsidRDefault="00A045D5" w:rsidP="00127934">
      <w:pPr>
        <w:numPr>
          <w:ilvl w:val="1"/>
          <w:numId w:val="33"/>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Adjusted EBITDA: </w:t>
      </w:r>
      <w:r w:rsidRPr="00A045D5">
        <w:rPr>
          <w:rFonts w:ascii="Times New Roman" w:eastAsia="Times New Roman" w:hAnsi="Times New Roman" w:cs="Times New Roman"/>
          <w:b/>
          <w:bCs/>
          <w:color w:val="000000" w:themeColor="text1"/>
        </w:rPr>
        <w:t>€2.3–2.6 billion</w:t>
      </w:r>
    </w:p>
    <w:p w14:paraId="657ECD50" w14:textId="77777777" w:rsidR="00A045D5" w:rsidRPr="00A045D5" w:rsidRDefault="00A045D5" w:rsidP="00127934">
      <w:pPr>
        <w:numPr>
          <w:ilvl w:val="1"/>
          <w:numId w:val="33"/>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Free cash flow: </w:t>
      </w:r>
      <w:r w:rsidRPr="00A045D5">
        <w:rPr>
          <w:rFonts w:ascii="Times New Roman" w:eastAsia="Times New Roman" w:hAnsi="Times New Roman" w:cs="Times New Roman"/>
          <w:b/>
          <w:bCs/>
          <w:color w:val="000000" w:themeColor="text1"/>
        </w:rPr>
        <w:t>&gt;€1 billion</w:t>
      </w:r>
    </w:p>
    <w:p w14:paraId="4C9759DE" w14:textId="77777777" w:rsidR="00A045D5" w:rsidRPr="00A045D5" w:rsidRDefault="00A045D5" w:rsidP="00127934">
      <w:pPr>
        <w:numPr>
          <w:ilvl w:val="0"/>
          <w:numId w:val="33"/>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Net debt reduced to </w:t>
      </w:r>
      <w:r w:rsidRPr="00A045D5">
        <w:rPr>
          <w:rFonts w:ascii="Times New Roman" w:eastAsia="Times New Roman" w:hAnsi="Times New Roman" w:cs="Times New Roman"/>
          <w:b/>
          <w:bCs/>
          <w:color w:val="000000" w:themeColor="text1"/>
        </w:rPr>
        <w:t>€6.1 billion</w:t>
      </w:r>
      <w:r w:rsidRPr="00A045D5">
        <w:rPr>
          <w:rFonts w:ascii="Times New Roman" w:eastAsia="Times New Roman" w:hAnsi="Times New Roman" w:cs="Times New Roman"/>
          <w:color w:val="000000" w:themeColor="text1"/>
        </w:rPr>
        <w:t>, down €200 million sequentially, with further deleveraging planned in H2.</w:t>
      </w:r>
    </w:p>
    <w:p w14:paraId="655F7163" w14:textId="77777777" w:rsidR="00A045D5" w:rsidRPr="00A045D5" w:rsidRDefault="00A045D5" w:rsidP="00A045D5">
      <w:p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Operational Highlights</w:t>
      </w:r>
    </w:p>
    <w:p w14:paraId="198DD7B5" w14:textId="77777777" w:rsidR="00A045D5" w:rsidRPr="00A045D5" w:rsidRDefault="00A045D5" w:rsidP="00127934">
      <w:pPr>
        <w:numPr>
          <w:ilvl w:val="0"/>
          <w:numId w:val="34"/>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Volumes grew in all four business divisions</w:t>
      </w:r>
      <w:r w:rsidRPr="00A045D5">
        <w:rPr>
          <w:rFonts w:ascii="Times New Roman" w:eastAsia="Times New Roman" w:hAnsi="Times New Roman" w:cs="Times New Roman"/>
          <w:color w:val="000000" w:themeColor="text1"/>
        </w:rPr>
        <w:t xml:space="preserve"> for the first time since 2022, indicating broad-based stabilization of customer demand.</w:t>
      </w:r>
    </w:p>
    <w:p w14:paraId="7198EE14" w14:textId="77777777" w:rsidR="00A045D5" w:rsidRPr="00A045D5" w:rsidRDefault="00A045D5" w:rsidP="00127934">
      <w:pPr>
        <w:numPr>
          <w:ilvl w:val="0"/>
          <w:numId w:val="34"/>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Price/mix impact was slightly negative (-2%) due to normalization of pass-through pricing in energy-intensive businesses.</w:t>
      </w:r>
    </w:p>
    <w:p w14:paraId="12F25F5E" w14:textId="77777777" w:rsidR="00A045D5" w:rsidRPr="00A045D5" w:rsidRDefault="00A045D5" w:rsidP="00127934">
      <w:pPr>
        <w:numPr>
          <w:ilvl w:val="0"/>
          <w:numId w:val="34"/>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Cost control measures delivered €35 million in Q2 savings, bringing YTD savings to </w:t>
      </w:r>
      <w:r w:rsidRPr="00A045D5">
        <w:rPr>
          <w:rFonts w:ascii="Times New Roman" w:eastAsia="Times New Roman" w:hAnsi="Times New Roman" w:cs="Times New Roman"/>
          <w:b/>
          <w:bCs/>
          <w:color w:val="000000" w:themeColor="text1"/>
        </w:rPr>
        <w:t>€85 million</w:t>
      </w:r>
      <w:r w:rsidRPr="00A045D5">
        <w:rPr>
          <w:rFonts w:ascii="Times New Roman" w:eastAsia="Times New Roman" w:hAnsi="Times New Roman" w:cs="Times New Roman"/>
          <w:color w:val="000000" w:themeColor="text1"/>
        </w:rPr>
        <w:t xml:space="preserve"> — on track to meet full-year target of €150 million.</w:t>
      </w:r>
    </w:p>
    <w:p w14:paraId="7741546A" w14:textId="77777777" w:rsidR="00A045D5" w:rsidRPr="00A045D5" w:rsidRDefault="00A045D5" w:rsidP="00127934">
      <w:pPr>
        <w:numPr>
          <w:ilvl w:val="0"/>
          <w:numId w:val="34"/>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U.S. operations were highlighted as critical for high-margin product lines, including </w:t>
      </w:r>
      <w:r w:rsidRPr="00A045D5">
        <w:rPr>
          <w:rFonts w:ascii="Times New Roman" w:eastAsia="Times New Roman" w:hAnsi="Times New Roman" w:cs="Times New Roman"/>
          <w:b/>
          <w:bCs/>
          <w:color w:val="000000" w:themeColor="text1"/>
        </w:rPr>
        <w:t>feed additives</w:t>
      </w:r>
      <w:r w:rsidRPr="00A045D5">
        <w:rPr>
          <w:rFonts w:ascii="Times New Roman" w:eastAsia="Times New Roman" w:hAnsi="Times New Roman" w:cs="Times New Roman"/>
          <w:color w:val="000000" w:themeColor="text1"/>
        </w:rPr>
        <w:t xml:space="preserve">, </w:t>
      </w:r>
      <w:r w:rsidRPr="00A045D5">
        <w:rPr>
          <w:rFonts w:ascii="Times New Roman" w:eastAsia="Times New Roman" w:hAnsi="Times New Roman" w:cs="Times New Roman"/>
          <w:b/>
          <w:bCs/>
          <w:color w:val="000000" w:themeColor="text1"/>
        </w:rPr>
        <w:t>pharmaceutical intermediates</w:t>
      </w:r>
      <w:r w:rsidRPr="00A045D5">
        <w:rPr>
          <w:rFonts w:ascii="Times New Roman" w:eastAsia="Times New Roman" w:hAnsi="Times New Roman" w:cs="Times New Roman"/>
          <w:color w:val="000000" w:themeColor="text1"/>
        </w:rPr>
        <w:t xml:space="preserve">, and </w:t>
      </w:r>
      <w:r w:rsidRPr="00A045D5">
        <w:rPr>
          <w:rFonts w:ascii="Times New Roman" w:eastAsia="Times New Roman" w:hAnsi="Times New Roman" w:cs="Times New Roman"/>
          <w:b/>
          <w:bCs/>
          <w:color w:val="000000" w:themeColor="text1"/>
        </w:rPr>
        <w:t>polymer modifiers</w:t>
      </w:r>
      <w:r w:rsidRPr="00A045D5">
        <w:rPr>
          <w:rFonts w:ascii="Times New Roman" w:eastAsia="Times New Roman" w:hAnsi="Times New Roman" w:cs="Times New Roman"/>
          <w:color w:val="000000" w:themeColor="text1"/>
        </w:rPr>
        <w:t>.</w:t>
      </w:r>
    </w:p>
    <w:p w14:paraId="20505A59" w14:textId="77777777" w:rsidR="00A045D5" w:rsidRPr="00A045D5" w:rsidRDefault="00A045D5" w:rsidP="00127934">
      <w:pPr>
        <w:numPr>
          <w:ilvl w:val="0"/>
          <w:numId w:val="34"/>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Evonik is consolidating low-margin bulk chemical capacity in Europe and shifting more production toward </w:t>
      </w:r>
      <w:r w:rsidRPr="00A045D5">
        <w:rPr>
          <w:rFonts w:ascii="Times New Roman" w:eastAsia="Times New Roman" w:hAnsi="Times New Roman" w:cs="Times New Roman"/>
          <w:b/>
          <w:bCs/>
          <w:color w:val="000000" w:themeColor="text1"/>
        </w:rPr>
        <w:t>specialty production hubs in North America</w:t>
      </w:r>
      <w:r w:rsidRPr="00A045D5">
        <w:rPr>
          <w:rFonts w:ascii="Times New Roman" w:eastAsia="Times New Roman" w:hAnsi="Times New Roman" w:cs="Times New Roman"/>
          <w:color w:val="000000" w:themeColor="text1"/>
        </w:rPr>
        <w:t>, including Alabama.</w:t>
      </w:r>
    </w:p>
    <w:p w14:paraId="45A6DB47" w14:textId="77777777" w:rsidR="00A045D5" w:rsidRPr="00A045D5" w:rsidRDefault="00A045D5" w:rsidP="00127934">
      <w:pPr>
        <w:numPr>
          <w:ilvl w:val="0"/>
          <w:numId w:val="34"/>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Efficiency initiatives in supply chain, procurement, and shared services are contributing to margin recovery and freeing up capital for </w:t>
      </w:r>
      <w:proofErr w:type="gramStart"/>
      <w:r w:rsidRPr="00A045D5">
        <w:rPr>
          <w:rFonts w:ascii="Times New Roman" w:eastAsia="Times New Roman" w:hAnsi="Times New Roman" w:cs="Times New Roman"/>
          <w:color w:val="000000" w:themeColor="text1"/>
        </w:rPr>
        <w:t>innovation</w:t>
      </w:r>
      <w:proofErr w:type="gramEnd"/>
      <w:r w:rsidRPr="00A045D5">
        <w:rPr>
          <w:rFonts w:ascii="Times New Roman" w:eastAsia="Times New Roman" w:hAnsi="Times New Roman" w:cs="Times New Roman"/>
          <w:color w:val="000000" w:themeColor="text1"/>
        </w:rPr>
        <w:t xml:space="preserve"> investments.</w:t>
      </w:r>
    </w:p>
    <w:p w14:paraId="2D370F8E" w14:textId="77777777" w:rsidR="00A045D5" w:rsidRPr="00A045D5" w:rsidRDefault="00A045D5" w:rsidP="00A045D5">
      <w:p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Business Expansions &amp; Capital Expenditure Plans</w:t>
      </w:r>
    </w:p>
    <w:p w14:paraId="345C8F7B" w14:textId="77777777" w:rsidR="00A045D5" w:rsidRPr="00A045D5" w:rsidRDefault="00A045D5" w:rsidP="00127934">
      <w:pPr>
        <w:numPr>
          <w:ilvl w:val="0"/>
          <w:numId w:val="35"/>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lastRenderedPageBreak/>
        <w:t xml:space="preserve">Total </w:t>
      </w:r>
      <w:proofErr w:type="spellStart"/>
      <w:r w:rsidRPr="00A045D5">
        <w:rPr>
          <w:rFonts w:ascii="Times New Roman" w:eastAsia="Times New Roman" w:hAnsi="Times New Roman" w:cs="Times New Roman"/>
          <w:color w:val="000000" w:themeColor="text1"/>
        </w:rPr>
        <w:t>CapEx</w:t>
      </w:r>
      <w:proofErr w:type="spellEnd"/>
      <w:r w:rsidRPr="00A045D5">
        <w:rPr>
          <w:rFonts w:ascii="Times New Roman" w:eastAsia="Times New Roman" w:hAnsi="Times New Roman" w:cs="Times New Roman"/>
          <w:color w:val="000000" w:themeColor="text1"/>
        </w:rPr>
        <w:t xml:space="preserve"> for Q2: </w:t>
      </w:r>
      <w:r w:rsidRPr="00A045D5">
        <w:rPr>
          <w:rFonts w:ascii="Times New Roman" w:eastAsia="Times New Roman" w:hAnsi="Times New Roman" w:cs="Times New Roman"/>
          <w:b/>
          <w:bCs/>
          <w:color w:val="000000" w:themeColor="text1"/>
        </w:rPr>
        <w:t>€186 million</w:t>
      </w:r>
      <w:r w:rsidRPr="00A045D5">
        <w:rPr>
          <w:rFonts w:ascii="Times New Roman" w:eastAsia="Times New Roman" w:hAnsi="Times New Roman" w:cs="Times New Roman"/>
          <w:color w:val="000000" w:themeColor="text1"/>
        </w:rPr>
        <w:t xml:space="preserve">, with full-year guidance of </w:t>
      </w:r>
      <w:r w:rsidRPr="00A045D5">
        <w:rPr>
          <w:rFonts w:ascii="Times New Roman" w:eastAsia="Times New Roman" w:hAnsi="Times New Roman" w:cs="Times New Roman"/>
          <w:b/>
          <w:bCs/>
          <w:color w:val="000000" w:themeColor="text1"/>
        </w:rPr>
        <w:t>€950 million</w:t>
      </w:r>
      <w:r w:rsidRPr="00A045D5">
        <w:rPr>
          <w:rFonts w:ascii="Times New Roman" w:eastAsia="Times New Roman" w:hAnsi="Times New Roman" w:cs="Times New Roman"/>
          <w:color w:val="000000" w:themeColor="text1"/>
        </w:rPr>
        <w:t>, flat YoY.</w:t>
      </w:r>
    </w:p>
    <w:p w14:paraId="5DF933CE" w14:textId="77777777" w:rsidR="00A045D5" w:rsidRPr="00A045D5" w:rsidRDefault="00A045D5" w:rsidP="00127934">
      <w:pPr>
        <w:numPr>
          <w:ilvl w:val="0"/>
          <w:numId w:val="35"/>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Growth investments focused on:</w:t>
      </w:r>
    </w:p>
    <w:p w14:paraId="3C4542AC" w14:textId="77777777" w:rsidR="00A045D5" w:rsidRPr="00A045D5" w:rsidRDefault="00A045D5" w:rsidP="00127934">
      <w:pPr>
        <w:numPr>
          <w:ilvl w:val="1"/>
          <w:numId w:val="35"/>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Ramping up U.S. production</w:t>
      </w:r>
      <w:r w:rsidRPr="00A045D5">
        <w:rPr>
          <w:rFonts w:ascii="Times New Roman" w:eastAsia="Times New Roman" w:hAnsi="Times New Roman" w:cs="Times New Roman"/>
          <w:color w:val="000000" w:themeColor="text1"/>
        </w:rPr>
        <w:t xml:space="preserve"> for methionine analogs (animal feed), pharma-grade excipients, and PA12 for 3D printing.</w:t>
      </w:r>
    </w:p>
    <w:p w14:paraId="481B9C59" w14:textId="77777777" w:rsidR="00A045D5" w:rsidRPr="00A045D5" w:rsidRDefault="00A045D5" w:rsidP="00127934">
      <w:pPr>
        <w:numPr>
          <w:ilvl w:val="1"/>
          <w:numId w:val="35"/>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Completion of a new </w:t>
      </w:r>
      <w:r w:rsidRPr="00A045D5">
        <w:rPr>
          <w:rFonts w:ascii="Times New Roman" w:eastAsia="Times New Roman" w:hAnsi="Times New Roman" w:cs="Times New Roman"/>
          <w:b/>
          <w:bCs/>
          <w:color w:val="000000" w:themeColor="text1"/>
        </w:rPr>
        <w:t>lipid production facility in Lafayette, Indiana</w:t>
      </w:r>
      <w:r w:rsidRPr="00A045D5">
        <w:rPr>
          <w:rFonts w:ascii="Times New Roman" w:eastAsia="Times New Roman" w:hAnsi="Times New Roman" w:cs="Times New Roman"/>
          <w:color w:val="000000" w:themeColor="text1"/>
        </w:rPr>
        <w:t xml:space="preserve">, supporting mRNA vaccines and gene therapies — part of the </w:t>
      </w:r>
      <w:r w:rsidRPr="00A045D5">
        <w:rPr>
          <w:rFonts w:ascii="Times New Roman" w:eastAsia="Times New Roman" w:hAnsi="Times New Roman" w:cs="Times New Roman"/>
          <w:b/>
          <w:bCs/>
          <w:color w:val="000000" w:themeColor="text1"/>
        </w:rPr>
        <w:t>Health &amp; Care</w:t>
      </w:r>
      <w:r w:rsidRPr="00A045D5">
        <w:rPr>
          <w:rFonts w:ascii="Times New Roman" w:eastAsia="Times New Roman" w:hAnsi="Times New Roman" w:cs="Times New Roman"/>
          <w:color w:val="000000" w:themeColor="text1"/>
        </w:rPr>
        <w:t xml:space="preserve"> growth platform.</w:t>
      </w:r>
    </w:p>
    <w:p w14:paraId="6649D055" w14:textId="77777777" w:rsidR="00A045D5" w:rsidRPr="00A045D5" w:rsidRDefault="00A045D5" w:rsidP="00127934">
      <w:pPr>
        <w:numPr>
          <w:ilvl w:val="1"/>
          <w:numId w:val="35"/>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Additional investments in </w:t>
      </w:r>
      <w:r w:rsidRPr="00A045D5">
        <w:rPr>
          <w:rFonts w:ascii="Times New Roman" w:eastAsia="Times New Roman" w:hAnsi="Times New Roman" w:cs="Times New Roman"/>
          <w:b/>
          <w:bCs/>
          <w:color w:val="000000" w:themeColor="text1"/>
        </w:rPr>
        <w:t>biotechnology and fermentation capacity</w:t>
      </w:r>
      <w:r w:rsidRPr="00A045D5">
        <w:rPr>
          <w:rFonts w:ascii="Times New Roman" w:eastAsia="Times New Roman" w:hAnsi="Times New Roman" w:cs="Times New Roman"/>
          <w:color w:val="000000" w:themeColor="text1"/>
        </w:rPr>
        <w:t xml:space="preserve"> in North America to support Evonik’s circular and bio-based product lines.</w:t>
      </w:r>
    </w:p>
    <w:p w14:paraId="38CA2A17" w14:textId="77777777" w:rsidR="00A045D5" w:rsidRPr="00A045D5" w:rsidRDefault="00A045D5" w:rsidP="00127934">
      <w:pPr>
        <w:numPr>
          <w:ilvl w:val="0"/>
          <w:numId w:val="35"/>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Active review of additional downstream production investments to </w:t>
      </w:r>
      <w:r w:rsidRPr="00A045D5">
        <w:rPr>
          <w:rFonts w:ascii="Times New Roman" w:eastAsia="Times New Roman" w:hAnsi="Times New Roman" w:cs="Times New Roman"/>
          <w:b/>
          <w:bCs/>
          <w:color w:val="000000" w:themeColor="text1"/>
        </w:rPr>
        <w:t>support U.S. East Coast demand</w:t>
      </w:r>
      <w:r w:rsidRPr="00A045D5">
        <w:rPr>
          <w:rFonts w:ascii="Times New Roman" w:eastAsia="Times New Roman" w:hAnsi="Times New Roman" w:cs="Times New Roman"/>
          <w:color w:val="000000" w:themeColor="text1"/>
        </w:rPr>
        <w:t>, which may involve capacity expansions in regions like Alabama.</w:t>
      </w:r>
    </w:p>
    <w:p w14:paraId="3EBD8CB2" w14:textId="77777777" w:rsidR="00A045D5" w:rsidRPr="00A045D5" w:rsidRDefault="00A045D5" w:rsidP="00127934">
      <w:pPr>
        <w:numPr>
          <w:ilvl w:val="0"/>
          <w:numId w:val="35"/>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 xml:space="preserve">Company reaffirmed commitment to </w:t>
      </w:r>
      <w:r w:rsidRPr="00A045D5">
        <w:rPr>
          <w:rFonts w:ascii="Times New Roman" w:eastAsia="Times New Roman" w:hAnsi="Times New Roman" w:cs="Times New Roman"/>
          <w:b/>
          <w:bCs/>
          <w:color w:val="000000" w:themeColor="text1"/>
        </w:rPr>
        <w:t>sustainable technologies</w:t>
      </w:r>
      <w:r w:rsidRPr="00A045D5">
        <w:rPr>
          <w:rFonts w:ascii="Times New Roman" w:eastAsia="Times New Roman" w:hAnsi="Times New Roman" w:cs="Times New Roman"/>
          <w:color w:val="000000" w:themeColor="text1"/>
        </w:rPr>
        <w:t xml:space="preserve">, with &gt;90% of </w:t>
      </w:r>
      <w:proofErr w:type="spellStart"/>
      <w:r w:rsidRPr="00A045D5">
        <w:rPr>
          <w:rFonts w:ascii="Times New Roman" w:eastAsia="Times New Roman" w:hAnsi="Times New Roman" w:cs="Times New Roman"/>
          <w:color w:val="000000" w:themeColor="text1"/>
        </w:rPr>
        <w:t>CapEx</w:t>
      </w:r>
      <w:proofErr w:type="spellEnd"/>
      <w:r w:rsidRPr="00A045D5">
        <w:rPr>
          <w:rFonts w:ascii="Times New Roman" w:eastAsia="Times New Roman" w:hAnsi="Times New Roman" w:cs="Times New Roman"/>
          <w:color w:val="000000" w:themeColor="text1"/>
        </w:rPr>
        <w:t xml:space="preserve"> directed toward green chemistry, energy efficiency, </w:t>
      </w:r>
      <w:proofErr w:type="gramStart"/>
      <w:r w:rsidRPr="00A045D5">
        <w:rPr>
          <w:rFonts w:ascii="Times New Roman" w:eastAsia="Times New Roman" w:hAnsi="Times New Roman" w:cs="Times New Roman"/>
          <w:color w:val="000000" w:themeColor="text1"/>
        </w:rPr>
        <w:t>or</w:t>
      </w:r>
      <w:proofErr w:type="gramEnd"/>
      <w:r w:rsidRPr="00A045D5">
        <w:rPr>
          <w:rFonts w:ascii="Times New Roman" w:eastAsia="Times New Roman" w:hAnsi="Times New Roman" w:cs="Times New Roman"/>
          <w:color w:val="000000" w:themeColor="text1"/>
        </w:rPr>
        <w:t xml:space="preserve"> specialty products.</w:t>
      </w:r>
    </w:p>
    <w:p w14:paraId="08CB686D" w14:textId="77777777" w:rsidR="00A045D5" w:rsidRPr="00A045D5" w:rsidRDefault="00A045D5" w:rsidP="00A045D5">
      <w:p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Segment Performance &amp; Outlook</w:t>
      </w:r>
    </w:p>
    <w:p w14:paraId="7E71D651" w14:textId="77777777" w:rsidR="00A045D5" w:rsidRPr="00A045D5" w:rsidRDefault="00A045D5" w:rsidP="00127934">
      <w:pPr>
        <w:numPr>
          <w:ilvl w:val="0"/>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Specialty Additives</w:t>
      </w:r>
      <w:r w:rsidRPr="00A045D5">
        <w:rPr>
          <w:rFonts w:ascii="Times New Roman" w:eastAsia="Times New Roman" w:hAnsi="Times New Roman" w:cs="Times New Roman"/>
          <w:color w:val="000000" w:themeColor="text1"/>
        </w:rPr>
        <w:t>:</w:t>
      </w:r>
    </w:p>
    <w:p w14:paraId="7037CE85"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Sales: €1.04 billion (+2% YoY); Adjusted EBITDA: €226 million</w:t>
      </w:r>
    </w:p>
    <w:p w14:paraId="27FAB024"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Strong demand in construction, automotive coatings, and plastics</w:t>
      </w:r>
    </w:p>
    <w:p w14:paraId="5744173D"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Growth supported by polymer additives and oil additives — areas aligned with Evonik’s U.S. operations, likely including Alabama</w:t>
      </w:r>
    </w:p>
    <w:p w14:paraId="6A3C67E8"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Margin expansion driven by cost controls and favorable mix</w:t>
      </w:r>
    </w:p>
    <w:p w14:paraId="2A6B2CF0" w14:textId="77777777" w:rsidR="00A045D5" w:rsidRPr="00A045D5" w:rsidRDefault="00A045D5" w:rsidP="00127934">
      <w:pPr>
        <w:numPr>
          <w:ilvl w:val="0"/>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Nutrition &amp; Care</w:t>
      </w:r>
      <w:r w:rsidRPr="00A045D5">
        <w:rPr>
          <w:rFonts w:ascii="Times New Roman" w:eastAsia="Times New Roman" w:hAnsi="Times New Roman" w:cs="Times New Roman"/>
          <w:color w:val="000000" w:themeColor="text1"/>
        </w:rPr>
        <w:t>:</w:t>
      </w:r>
    </w:p>
    <w:p w14:paraId="6CA7BE1D"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Sales: €1.03 billion (+4% YoY); Adjusted EBITDA: €187 million</w:t>
      </w:r>
    </w:p>
    <w:p w14:paraId="7A3550F3"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Methionine volumes rebounding; U.S. poultry sector strength benefiting feed additive demand</w:t>
      </w:r>
    </w:p>
    <w:p w14:paraId="6A6F6233"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Continued strength in healthcare excipients and medical applications</w:t>
      </w:r>
    </w:p>
    <w:p w14:paraId="4E173C55"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Alabama operations potentially contributing through animal nutrition and pharma intermediates production</w:t>
      </w:r>
    </w:p>
    <w:p w14:paraId="6C7261BE" w14:textId="77777777" w:rsidR="00A045D5" w:rsidRPr="00A045D5" w:rsidRDefault="00A045D5" w:rsidP="00127934">
      <w:pPr>
        <w:numPr>
          <w:ilvl w:val="0"/>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Smart Materials</w:t>
      </w:r>
      <w:r w:rsidRPr="00A045D5">
        <w:rPr>
          <w:rFonts w:ascii="Times New Roman" w:eastAsia="Times New Roman" w:hAnsi="Times New Roman" w:cs="Times New Roman"/>
          <w:color w:val="000000" w:themeColor="text1"/>
        </w:rPr>
        <w:t>:</w:t>
      </w:r>
    </w:p>
    <w:p w14:paraId="7B1CA032"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Sales: €1.14 billion (flat YoY); Adjusted EBITDA: €148 million</w:t>
      </w:r>
    </w:p>
    <w:p w14:paraId="143A86D8"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Growth in hydrogen peroxide and polymer performance additives</w:t>
      </w:r>
    </w:p>
    <w:p w14:paraId="2453B681"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Lithium-ion battery and e-mobility applications seeing strong demand</w:t>
      </w:r>
    </w:p>
    <w:p w14:paraId="3A8D48E2"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Aluminum- and silica-based additive lines expanding for EVs and 3D printing — relevant to Alabama-linked supply chain</w:t>
      </w:r>
    </w:p>
    <w:p w14:paraId="5931CDA8" w14:textId="77777777" w:rsidR="00A045D5" w:rsidRPr="00A045D5" w:rsidRDefault="00A045D5" w:rsidP="00127934">
      <w:pPr>
        <w:numPr>
          <w:ilvl w:val="0"/>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Performance Materials</w:t>
      </w:r>
      <w:r w:rsidRPr="00A045D5">
        <w:rPr>
          <w:rFonts w:ascii="Times New Roman" w:eastAsia="Times New Roman" w:hAnsi="Times New Roman" w:cs="Times New Roman"/>
          <w:color w:val="000000" w:themeColor="text1"/>
        </w:rPr>
        <w:t>:</w:t>
      </w:r>
    </w:p>
    <w:p w14:paraId="66AB91C7"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Sales: €684 million (−8% YoY); Adjusted EBITDA: €58 million</w:t>
      </w:r>
    </w:p>
    <w:p w14:paraId="5F0460C6"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Ongoing weakness in C4 and benzene derivatives; Evonik continues to exit low-margin assets in Europe</w:t>
      </w:r>
    </w:p>
    <w:p w14:paraId="460171D5"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U.S. performance stable, supported by refining and transportation chemicals</w:t>
      </w:r>
    </w:p>
    <w:p w14:paraId="4078D36B" w14:textId="77777777" w:rsidR="00A045D5" w:rsidRPr="00A045D5" w:rsidRDefault="00A045D5" w:rsidP="00127934">
      <w:pPr>
        <w:numPr>
          <w:ilvl w:val="0"/>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b/>
          <w:bCs/>
          <w:color w:val="000000" w:themeColor="text1"/>
        </w:rPr>
        <w:t>Outlook</w:t>
      </w:r>
      <w:r w:rsidRPr="00A045D5">
        <w:rPr>
          <w:rFonts w:ascii="Times New Roman" w:eastAsia="Times New Roman" w:hAnsi="Times New Roman" w:cs="Times New Roman"/>
          <w:color w:val="000000" w:themeColor="text1"/>
        </w:rPr>
        <w:t>:</w:t>
      </w:r>
    </w:p>
    <w:p w14:paraId="76537DF2"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Q3 volumes expected to remain stable or grow slightly; Q4 seasonality will drive modest demand normalization.</w:t>
      </w:r>
    </w:p>
    <w:p w14:paraId="7C139117"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Management confident in delivering on full-year EBITDA and FCF targets.</w:t>
      </w:r>
    </w:p>
    <w:p w14:paraId="15B21A04"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Continued shift in investment and capacity toward U.S. and Asian specialty assets, with Alabama likely to benefit as part of North American build-out.</w:t>
      </w:r>
    </w:p>
    <w:p w14:paraId="6C9CCC44" w14:textId="77777777" w:rsidR="00A045D5" w:rsidRPr="00A045D5" w:rsidRDefault="00A045D5" w:rsidP="00127934">
      <w:pPr>
        <w:numPr>
          <w:ilvl w:val="1"/>
          <w:numId w:val="36"/>
        </w:numPr>
        <w:spacing w:beforeAutospacing="1" w:afterAutospacing="1" w:line="240" w:lineRule="auto"/>
        <w:rPr>
          <w:rFonts w:ascii="Times New Roman" w:eastAsia="Times New Roman" w:hAnsi="Times New Roman" w:cs="Times New Roman"/>
          <w:color w:val="000000" w:themeColor="text1"/>
        </w:rPr>
      </w:pPr>
      <w:r w:rsidRPr="00A045D5">
        <w:rPr>
          <w:rFonts w:ascii="Times New Roman" w:eastAsia="Times New Roman" w:hAnsi="Times New Roman" w:cs="Times New Roman"/>
          <w:color w:val="000000" w:themeColor="text1"/>
        </w:rPr>
        <w:t>Evonik reiterated its 2030 goals of €2.5 billion+ EBITDA from “growth businesses” and €1.2 billion in cumulative FCF over 2025–2026.</w:t>
      </w:r>
    </w:p>
    <w:p w14:paraId="584ED123" w14:textId="22BE3363"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1FD90A5D" w14:textId="16A4BB9F"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67507E3D" w14:textId="7245F09F" w:rsidR="00E263BE" w:rsidRPr="00BC0D8E" w:rsidRDefault="00E263BE" w:rsidP="2535092B">
      <w:pPr>
        <w:rPr>
          <w:rFonts w:ascii="Times New Roman" w:hAnsi="Times New Roman" w:cs="Times New Roman"/>
          <w:b/>
          <w:bCs/>
        </w:rPr>
      </w:pPr>
      <w:r>
        <w:br/>
      </w:r>
    </w:p>
    <w:p w14:paraId="525E6B89" w14:textId="77777777" w:rsidR="008B733A" w:rsidRPr="00BC0D8E" w:rsidRDefault="34354836" w:rsidP="008B733A">
      <w:pPr>
        <w:pStyle w:val="Heading2"/>
        <w:rPr>
          <w:rFonts w:cs="Times New Roman"/>
        </w:rPr>
      </w:pPr>
      <w:bookmarkStart w:id="45" w:name="_Toc147824664"/>
      <w:bookmarkStart w:id="46" w:name="_Toc212796749"/>
      <w:r w:rsidRPr="2535092B">
        <w:rPr>
          <w:rFonts w:cs="Times New Roman"/>
        </w:rPr>
        <w:t>Interfor Corp. (</w:t>
      </w:r>
      <w:proofErr w:type="gramStart"/>
      <w:r w:rsidRPr="2535092B">
        <w:rPr>
          <w:rFonts w:cs="Times New Roman"/>
        </w:rPr>
        <w:t>TSX:IFP</w:t>
      </w:r>
      <w:proofErr w:type="gramEnd"/>
      <w:r w:rsidRPr="2535092B">
        <w:rPr>
          <w:rFonts w:cs="Times New Roman"/>
        </w:rPr>
        <w:t>)</w:t>
      </w:r>
      <w:bookmarkEnd w:id="45"/>
      <w:bookmarkEnd w:id="46"/>
    </w:p>
    <w:p w14:paraId="0B504422" w14:textId="4666AC6C" w:rsidR="008B733A" w:rsidRPr="00BC0D8E" w:rsidRDefault="02FFA956" w:rsidP="008B733A">
      <w:pPr>
        <w:pStyle w:val="Heading3"/>
        <w:rPr>
          <w:rFonts w:cs="Times New Roman"/>
        </w:rPr>
      </w:pPr>
      <w:bookmarkStart w:id="47" w:name="_Toc147824665"/>
      <w:bookmarkStart w:id="48" w:name="_Toc212796750"/>
      <w:r w:rsidRPr="2EEB26EF">
        <w:rPr>
          <w:rFonts w:cs="Times New Roman"/>
        </w:rPr>
        <w:t>Outlook:</w:t>
      </w:r>
      <w:r w:rsidR="1F99D359" w:rsidRPr="2EEB26EF">
        <w:rPr>
          <w:rFonts w:cs="Times New Roman"/>
        </w:rPr>
        <w:t xml:space="preserve"> </w:t>
      </w:r>
      <w:bookmarkEnd w:id="47"/>
      <w:commentRangeStart w:id="49"/>
      <w:r w:rsidR="00CE1784" w:rsidRPr="0227D82F">
        <w:rPr>
          <w:rFonts w:cs="Times New Roman"/>
          <w:color w:val="FF0000"/>
        </w:rPr>
        <w:t>Ne</w:t>
      </w:r>
      <w:r w:rsidR="14314658" w:rsidRPr="0227D82F">
        <w:rPr>
          <w:rFonts w:cs="Times New Roman"/>
          <w:color w:val="FF0000"/>
        </w:rPr>
        <w:t>gative</w:t>
      </w:r>
      <w:commentRangeEnd w:id="49"/>
      <w:r>
        <w:rPr>
          <w:rStyle w:val="CommentReference"/>
        </w:rPr>
        <w:commentReference w:id="49"/>
      </w:r>
      <w:bookmarkEnd w:id="48"/>
    </w:p>
    <w:p w14:paraId="21528C45" w14:textId="3518C019" w:rsidR="008B733A" w:rsidRPr="00BC0D8E" w:rsidRDefault="02FFA956" w:rsidP="3CA273EB">
      <w:pPr>
        <w:pStyle w:val="Heading3"/>
        <w:rPr>
          <w:rFonts w:cs="Times New Roman"/>
          <w:color w:val="00B050"/>
        </w:rPr>
      </w:pPr>
      <w:bookmarkStart w:id="50" w:name="_Toc147824666"/>
      <w:bookmarkStart w:id="51" w:name="_Toc212796751"/>
      <w:r w:rsidRPr="2EEB26EF">
        <w:rPr>
          <w:rFonts w:cs="Times New Roman"/>
        </w:rPr>
        <w:t>AL Outlook:</w:t>
      </w:r>
      <w:r w:rsidR="705CC1F0" w:rsidRPr="2EEB26EF">
        <w:rPr>
          <w:rFonts w:cs="Times New Roman"/>
        </w:rPr>
        <w:t xml:space="preserve"> </w:t>
      </w:r>
      <w:bookmarkEnd w:id="50"/>
      <w:r w:rsidR="00CE1784" w:rsidRPr="00AF2939">
        <w:rPr>
          <w:rFonts w:cs="Times New Roman"/>
          <w:color w:val="00B050"/>
        </w:rPr>
        <w:t>Positive</w:t>
      </w:r>
      <w:bookmarkEnd w:id="51"/>
    </w:p>
    <w:p w14:paraId="76DBE437" w14:textId="0047445D" w:rsidR="008B733A" w:rsidRPr="00BC0D8E" w:rsidRDefault="02FFA956" w:rsidP="2535092B">
      <w:pPr>
        <w:rPr>
          <w:rFonts w:ascii="Times New Roman" w:hAnsi="Times New Roman" w:cs="Times New Roman"/>
        </w:rPr>
      </w:pPr>
      <w:r w:rsidRPr="0227D82F">
        <w:rPr>
          <w:rFonts w:ascii="Times New Roman" w:hAnsi="Times New Roman" w:cs="Times New Roman"/>
          <w:b/>
          <w:bCs/>
        </w:rPr>
        <w:t>Recommended Action:</w:t>
      </w:r>
      <w:r w:rsidR="323DF8BB" w:rsidRPr="0227D82F">
        <w:rPr>
          <w:rFonts w:ascii="Times New Roman" w:hAnsi="Times New Roman" w:cs="Times New Roman"/>
          <w:b/>
          <w:bCs/>
        </w:rPr>
        <w:t xml:space="preserve"> </w:t>
      </w:r>
      <w:commentRangeStart w:id="52"/>
      <w:r w:rsidR="3D64EBC6" w:rsidRPr="0227D82F">
        <w:rPr>
          <w:rFonts w:ascii="Times New Roman" w:hAnsi="Times New Roman" w:cs="Times New Roman"/>
        </w:rPr>
        <w:t>N/A</w:t>
      </w:r>
      <w:commentRangeEnd w:id="52"/>
      <w:r>
        <w:rPr>
          <w:rStyle w:val="CommentReference"/>
        </w:rPr>
        <w:commentReference w:id="52"/>
      </w:r>
    </w:p>
    <w:p w14:paraId="07CC1AD7" w14:textId="576E307F" w:rsidR="00E263BE" w:rsidRDefault="41FBD868" w:rsidP="2535092B">
      <w:pPr>
        <w:rPr>
          <w:rFonts w:ascii="Times New Roman" w:eastAsia="Times New Roman" w:hAnsi="Times New Roman" w:cs="Times New Roman"/>
          <w:b/>
          <w:bCs/>
        </w:rPr>
      </w:pPr>
      <w:r w:rsidRPr="2535092B">
        <w:rPr>
          <w:rStyle w:val="Strong"/>
          <w:rFonts w:ascii="Times New Roman" w:eastAsia="Times New Roman" w:hAnsi="Times New Roman" w:cs="Times New Roman"/>
          <w:color w:val="000000" w:themeColor="text1"/>
        </w:rPr>
        <w:t>Alabama Location(s)</w:t>
      </w:r>
      <w:r w:rsidRPr="2535092B">
        <w:rPr>
          <w:rFonts w:ascii="Times New Roman" w:eastAsia="Times New Roman" w:hAnsi="Times New Roman" w:cs="Times New Roman"/>
          <w:color w:val="000000" w:themeColor="text1"/>
        </w:rPr>
        <w:t>: Belk: Sawmill</w:t>
      </w:r>
      <w:r w:rsidR="3B2FA80E" w:rsidRPr="2535092B">
        <w:rPr>
          <w:rFonts w:ascii="Times New Roman" w:eastAsia="Times New Roman" w:hAnsi="Times New Roman" w:cs="Times New Roman"/>
          <w:b/>
          <w:bCs/>
        </w:rPr>
        <w:t xml:space="preserve"> </w:t>
      </w:r>
    </w:p>
    <w:p w14:paraId="612D9343" w14:textId="77777777" w:rsidR="00506381" w:rsidRPr="00506381" w:rsidRDefault="00506381" w:rsidP="00506381">
      <w:pPr>
        <w:pStyle w:val="NormalWeb"/>
        <w:rPr>
          <w:sz w:val="22"/>
          <w:szCs w:val="22"/>
        </w:rPr>
      </w:pPr>
      <w:r w:rsidRPr="00506381">
        <w:rPr>
          <w:rStyle w:val="Strong"/>
          <w:rFonts w:eastAsiaTheme="majorEastAsia"/>
          <w:sz w:val="22"/>
          <w:szCs w:val="22"/>
        </w:rPr>
        <w:t>Key Takeaways</w:t>
      </w:r>
    </w:p>
    <w:p w14:paraId="2C776A33" w14:textId="77777777" w:rsidR="00506381" w:rsidRPr="00506381" w:rsidRDefault="00506381" w:rsidP="00127934">
      <w:pPr>
        <w:pStyle w:val="NormalWeb"/>
        <w:numPr>
          <w:ilvl w:val="0"/>
          <w:numId w:val="37"/>
        </w:numPr>
        <w:rPr>
          <w:sz w:val="22"/>
          <w:szCs w:val="22"/>
        </w:rPr>
      </w:pPr>
      <w:r w:rsidRPr="00506381">
        <w:rPr>
          <w:sz w:val="22"/>
          <w:szCs w:val="22"/>
        </w:rPr>
        <w:t>Interfor reported a weak Q2 2025, impacted by ongoing challenges in lumber markets, especially in Western Canada, though U.S. South operations — including Alabama — showed relative strength.</w:t>
      </w:r>
    </w:p>
    <w:p w14:paraId="7C31FFD7" w14:textId="77777777" w:rsidR="00506381" w:rsidRPr="00506381" w:rsidRDefault="00506381" w:rsidP="00127934">
      <w:pPr>
        <w:pStyle w:val="NormalWeb"/>
        <w:numPr>
          <w:ilvl w:val="0"/>
          <w:numId w:val="37"/>
        </w:numPr>
        <w:rPr>
          <w:sz w:val="22"/>
          <w:szCs w:val="22"/>
        </w:rPr>
      </w:pPr>
      <w:r w:rsidRPr="00506381">
        <w:rPr>
          <w:sz w:val="22"/>
          <w:szCs w:val="22"/>
        </w:rPr>
        <w:t xml:space="preserve">The company posted a net loss of CAD 97 million and negative EBITDA, reflecting lower lumber prices, reduced operating rates, and </w:t>
      </w:r>
      <w:proofErr w:type="gramStart"/>
      <w:r w:rsidRPr="00506381">
        <w:rPr>
          <w:sz w:val="22"/>
          <w:szCs w:val="22"/>
        </w:rPr>
        <w:t>high cost</w:t>
      </w:r>
      <w:proofErr w:type="gramEnd"/>
      <w:r w:rsidRPr="00506381">
        <w:rPr>
          <w:sz w:val="22"/>
          <w:szCs w:val="22"/>
        </w:rPr>
        <w:t xml:space="preserve"> inflation in Canada.</w:t>
      </w:r>
    </w:p>
    <w:p w14:paraId="2530C8BA" w14:textId="77777777" w:rsidR="00506381" w:rsidRPr="00506381" w:rsidRDefault="00506381" w:rsidP="00127934">
      <w:pPr>
        <w:pStyle w:val="NormalWeb"/>
        <w:numPr>
          <w:ilvl w:val="0"/>
          <w:numId w:val="37"/>
        </w:numPr>
        <w:rPr>
          <w:sz w:val="22"/>
          <w:szCs w:val="22"/>
        </w:rPr>
      </w:pPr>
      <w:r w:rsidRPr="00506381">
        <w:rPr>
          <w:sz w:val="22"/>
          <w:szCs w:val="22"/>
        </w:rPr>
        <w:t>Management emphasized capital discipline, temporarily curtailing or slowing several high-cost operations, while maintaining stable production in the U.S. South.</w:t>
      </w:r>
    </w:p>
    <w:p w14:paraId="5B915784" w14:textId="77777777" w:rsidR="00506381" w:rsidRPr="00506381" w:rsidRDefault="00506381" w:rsidP="00127934">
      <w:pPr>
        <w:pStyle w:val="NormalWeb"/>
        <w:numPr>
          <w:ilvl w:val="0"/>
          <w:numId w:val="37"/>
        </w:numPr>
        <w:rPr>
          <w:sz w:val="22"/>
          <w:szCs w:val="22"/>
        </w:rPr>
      </w:pPr>
      <w:r w:rsidRPr="00506381">
        <w:rPr>
          <w:sz w:val="22"/>
          <w:szCs w:val="22"/>
        </w:rPr>
        <w:t>Interfor is actively shifting its geographic production mix away from British Columbia toward more cost-competitive regions like the U.S. South.</w:t>
      </w:r>
    </w:p>
    <w:p w14:paraId="71D75BE2" w14:textId="77777777" w:rsidR="00506381" w:rsidRPr="00506381" w:rsidRDefault="00506381" w:rsidP="00127934">
      <w:pPr>
        <w:pStyle w:val="NormalWeb"/>
        <w:numPr>
          <w:ilvl w:val="0"/>
          <w:numId w:val="37"/>
        </w:numPr>
        <w:rPr>
          <w:sz w:val="22"/>
          <w:szCs w:val="22"/>
        </w:rPr>
      </w:pPr>
      <w:r w:rsidRPr="00506381">
        <w:rPr>
          <w:sz w:val="22"/>
          <w:szCs w:val="22"/>
        </w:rPr>
        <w:t xml:space="preserve">The </w:t>
      </w:r>
      <w:r w:rsidRPr="00506381">
        <w:rPr>
          <w:rStyle w:val="Strong"/>
          <w:rFonts w:eastAsiaTheme="majorEastAsia"/>
          <w:sz w:val="22"/>
          <w:szCs w:val="22"/>
        </w:rPr>
        <w:t>Belk, Alabama sawmill</w:t>
      </w:r>
      <w:r w:rsidRPr="00506381">
        <w:rPr>
          <w:sz w:val="22"/>
          <w:szCs w:val="22"/>
        </w:rPr>
        <w:t>, part of this U.S. South network, continues to operate and is likely benefiting from higher uptime and favorable logistics.</w:t>
      </w:r>
    </w:p>
    <w:p w14:paraId="6DECF3BF" w14:textId="77777777" w:rsidR="00506381" w:rsidRPr="00506381" w:rsidRDefault="00506381" w:rsidP="00127934">
      <w:pPr>
        <w:pStyle w:val="NormalWeb"/>
        <w:numPr>
          <w:ilvl w:val="0"/>
          <w:numId w:val="37"/>
        </w:numPr>
        <w:rPr>
          <w:sz w:val="22"/>
          <w:szCs w:val="22"/>
        </w:rPr>
      </w:pPr>
      <w:r w:rsidRPr="00506381">
        <w:rPr>
          <w:sz w:val="22"/>
          <w:szCs w:val="22"/>
        </w:rPr>
        <w:t>Strategic priorities remain focused on optimizing utilization, reducing corporate overhead, and navigating the prolonged bottom of the lumber cycle.</w:t>
      </w:r>
    </w:p>
    <w:p w14:paraId="364FCFF6" w14:textId="77777777" w:rsidR="00506381" w:rsidRPr="00506381" w:rsidRDefault="00506381" w:rsidP="00506381">
      <w:pPr>
        <w:pStyle w:val="NormalWeb"/>
        <w:rPr>
          <w:sz w:val="22"/>
          <w:szCs w:val="22"/>
        </w:rPr>
      </w:pPr>
      <w:r w:rsidRPr="00506381">
        <w:rPr>
          <w:rStyle w:val="Strong"/>
          <w:rFonts w:eastAsiaTheme="majorEastAsia"/>
          <w:sz w:val="22"/>
          <w:szCs w:val="22"/>
        </w:rPr>
        <w:t>Financial Highlights</w:t>
      </w:r>
    </w:p>
    <w:p w14:paraId="2EE9E7A9" w14:textId="77777777" w:rsidR="00506381" w:rsidRPr="00506381" w:rsidRDefault="00506381" w:rsidP="00127934">
      <w:pPr>
        <w:pStyle w:val="NormalWeb"/>
        <w:numPr>
          <w:ilvl w:val="0"/>
          <w:numId w:val="38"/>
        </w:numPr>
        <w:rPr>
          <w:sz w:val="22"/>
          <w:szCs w:val="22"/>
        </w:rPr>
      </w:pPr>
      <w:r w:rsidRPr="00506381">
        <w:rPr>
          <w:sz w:val="22"/>
          <w:szCs w:val="22"/>
        </w:rPr>
        <w:t xml:space="preserve">Revenue: </w:t>
      </w:r>
      <w:r w:rsidRPr="00506381">
        <w:rPr>
          <w:rStyle w:val="Strong"/>
          <w:rFonts w:eastAsiaTheme="majorEastAsia"/>
          <w:sz w:val="22"/>
          <w:szCs w:val="22"/>
        </w:rPr>
        <w:t>CAD 788 million</w:t>
      </w:r>
      <w:r w:rsidRPr="00506381">
        <w:rPr>
          <w:sz w:val="22"/>
          <w:szCs w:val="22"/>
        </w:rPr>
        <w:t>, down from CAD 1.03 billion in Q2 2024 (−23% YoY), primarily due to lower lumber prices and volumes.</w:t>
      </w:r>
    </w:p>
    <w:p w14:paraId="5E690952" w14:textId="77777777" w:rsidR="00506381" w:rsidRPr="00506381" w:rsidRDefault="00506381" w:rsidP="00127934">
      <w:pPr>
        <w:pStyle w:val="NormalWeb"/>
        <w:numPr>
          <w:ilvl w:val="0"/>
          <w:numId w:val="38"/>
        </w:numPr>
        <w:rPr>
          <w:sz w:val="22"/>
          <w:szCs w:val="22"/>
        </w:rPr>
      </w:pPr>
      <w:r w:rsidRPr="00506381">
        <w:rPr>
          <w:sz w:val="22"/>
          <w:szCs w:val="22"/>
        </w:rPr>
        <w:t xml:space="preserve">Net loss: </w:t>
      </w:r>
      <w:r w:rsidRPr="00506381">
        <w:rPr>
          <w:rStyle w:val="Strong"/>
          <w:rFonts w:eastAsiaTheme="majorEastAsia"/>
          <w:sz w:val="22"/>
          <w:szCs w:val="22"/>
        </w:rPr>
        <w:t>CAD 97 million</w:t>
      </w:r>
      <w:r w:rsidRPr="00506381">
        <w:rPr>
          <w:sz w:val="22"/>
          <w:szCs w:val="22"/>
        </w:rPr>
        <w:t xml:space="preserve">, or </w:t>
      </w:r>
      <w:r w:rsidRPr="00506381">
        <w:rPr>
          <w:rStyle w:val="Strong"/>
          <w:rFonts w:eastAsiaTheme="majorEastAsia"/>
          <w:sz w:val="22"/>
          <w:szCs w:val="22"/>
        </w:rPr>
        <w:t>CAD −1.82 per share</w:t>
      </w:r>
      <w:r w:rsidRPr="00506381">
        <w:rPr>
          <w:sz w:val="22"/>
          <w:szCs w:val="22"/>
        </w:rPr>
        <w:t>, vs. a loss of CAD 43 million in the prior-year quarter.</w:t>
      </w:r>
    </w:p>
    <w:p w14:paraId="7E978133" w14:textId="77777777" w:rsidR="00506381" w:rsidRPr="00506381" w:rsidRDefault="00506381" w:rsidP="00127934">
      <w:pPr>
        <w:pStyle w:val="NormalWeb"/>
        <w:numPr>
          <w:ilvl w:val="0"/>
          <w:numId w:val="38"/>
        </w:numPr>
        <w:rPr>
          <w:sz w:val="22"/>
          <w:szCs w:val="22"/>
        </w:rPr>
      </w:pPr>
      <w:r w:rsidRPr="00506381">
        <w:rPr>
          <w:sz w:val="22"/>
          <w:szCs w:val="22"/>
        </w:rPr>
        <w:t xml:space="preserve">Adjusted EBITDA: </w:t>
      </w:r>
      <w:r w:rsidRPr="00506381">
        <w:rPr>
          <w:rStyle w:val="Strong"/>
          <w:rFonts w:eastAsiaTheme="majorEastAsia"/>
          <w:sz w:val="22"/>
          <w:szCs w:val="22"/>
        </w:rPr>
        <w:t>CAD −14 million</w:t>
      </w:r>
      <w:r w:rsidRPr="00506381">
        <w:rPr>
          <w:sz w:val="22"/>
          <w:szCs w:val="22"/>
        </w:rPr>
        <w:t>, down sharply from CAD +85 million YoY; margin pressure most acute in B.C. operations.</w:t>
      </w:r>
    </w:p>
    <w:p w14:paraId="15448FBF" w14:textId="77777777" w:rsidR="00506381" w:rsidRPr="00506381" w:rsidRDefault="00506381" w:rsidP="00127934">
      <w:pPr>
        <w:pStyle w:val="NormalWeb"/>
        <w:numPr>
          <w:ilvl w:val="0"/>
          <w:numId w:val="38"/>
        </w:numPr>
        <w:rPr>
          <w:sz w:val="22"/>
          <w:szCs w:val="22"/>
        </w:rPr>
      </w:pPr>
      <w:r w:rsidRPr="00506381">
        <w:rPr>
          <w:sz w:val="22"/>
          <w:szCs w:val="22"/>
        </w:rPr>
        <w:t xml:space="preserve">Operating cash flow: </w:t>
      </w:r>
      <w:r w:rsidRPr="00506381">
        <w:rPr>
          <w:rStyle w:val="Strong"/>
          <w:rFonts w:eastAsiaTheme="majorEastAsia"/>
          <w:sz w:val="22"/>
          <w:szCs w:val="22"/>
        </w:rPr>
        <w:t>CAD 5 million</w:t>
      </w:r>
      <w:r w:rsidRPr="00506381">
        <w:rPr>
          <w:sz w:val="22"/>
          <w:szCs w:val="22"/>
        </w:rPr>
        <w:t xml:space="preserve">, down from CAD 108 million in Q2 2024; primarily used for sustaining </w:t>
      </w:r>
      <w:proofErr w:type="spellStart"/>
      <w:r w:rsidRPr="00506381">
        <w:rPr>
          <w:sz w:val="22"/>
          <w:szCs w:val="22"/>
        </w:rPr>
        <w:t>CapEx</w:t>
      </w:r>
      <w:proofErr w:type="spellEnd"/>
      <w:r w:rsidRPr="00506381">
        <w:rPr>
          <w:sz w:val="22"/>
          <w:szCs w:val="22"/>
        </w:rPr>
        <w:t xml:space="preserve"> and working capital stabilization.</w:t>
      </w:r>
    </w:p>
    <w:p w14:paraId="024B3C93" w14:textId="77777777" w:rsidR="00506381" w:rsidRPr="00506381" w:rsidRDefault="00506381" w:rsidP="00127934">
      <w:pPr>
        <w:pStyle w:val="NormalWeb"/>
        <w:numPr>
          <w:ilvl w:val="0"/>
          <w:numId w:val="38"/>
        </w:numPr>
        <w:rPr>
          <w:sz w:val="22"/>
          <w:szCs w:val="22"/>
        </w:rPr>
      </w:pPr>
      <w:r w:rsidRPr="00506381">
        <w:rPr>
          <w:sz w:val="22"/>
          <w:szCs w:val="22"/>
        </w:rPr>
        <w:t xml:space="preserve">Total liquidity: </w:t>
      </w:r>
      <w:r w:rsidRPr="00506381">
        <w:rPr>
          <w:rStyle w:val="Strong"/>
          <w:rFonts w:eastAsiaTheme="majorEastAsia"/>
          <w:sz w:val="22"/>
          <w:szCs w:val="22"/>
        </w:rPr>
        <w:t>CAD 540 million</w:t>
      </w:r>
      <w:r w:rsidRPr="00506381">
        <w:rPr>
          <w:sz w:val="22"/>
          <w:szCs w:val="22"/>
        </w:rPr>
        <w:t xml:space="preserve">, with CAD 200 million of unused borrowing capacity under its </w:t>
      </w:r>
      <w:proofErr w:type="gramStart"/>
      <w:r w:rsidRPr="00506381">
        <w:rPr>
          <w:sz w:val="22"/>
          <w:szCs w:val="22"/>
        </w:rPr>
        <w:t>revolver</w:t>
      </w:r>
      <w:proofErr w:type="gramEnd"/>
      <w:r w:rsidRPr="00506381">
        <w:rPr>
          <w:sz w:val="22"/>
          <w:szCs w:val="22"/>
        </w:rPr>
        <w:t>.</w:t>
      </w:r>
    </w:p>
    <w:p w14:paraId="1B5F90FF" w14:textId="77777777" w:rsidR="00506381" w:rsidRPr="00506381" w:rsidRDefault="00506381" w:rsidP="00127934">
      <w:pPr>
        <w:pStyle w:val="NormalWeb"/>
        <w:numPr>
          <w:ilvl w:val="0"/>
          <w:numId w:val="38"/>
        </w:numPr>
        <w:rPr>
          <w:sz w:val="22"/>
          <w:szCs w:val="22"/>
        </w:rPr>
      </w:pPr>
      <w:r w:rsidRPr="00506381">
        <w:rPr>
          <w:sz w:val="22"/>
          <w:szCs w:val="22"/>
        </w:rPr>
        <w:t xml:space="preserve">Net debt: </w:t>
      </w:r>
      <w:r w:rsidRPr="00506381">
        <w:rPr>
          <w:rStyle w:val="Strong"/>
          <w:rFonts w:eastAsiaTheme="majorEastAsia"/>
          <w:sz w:val="22"/>
          <w:szCs w:val="22"/>
        </w:rPr>
        <w:t>CAD 482 million</w:t>
      </w:r>
      <w:r w:rsidRPr="00506381">
        <w:rPr>
          <w:sz w:val="22"/>
          <w:szCs w:val="22"/>
        </w:rPr>
        <w:t>, representing a leverage ratio of 3.5x net debt to EBITDA.</w:t>
      </w:r>
    </w:p>
    <w:p w14:paraId="3C4A45F4" w14:textId="77777777" w:rsidR="00506381" w:rsidRPr="00506381" w:rsidRDefault="00506381" w:rsidP="00506381">
      <w:pPr>
        <w:pStyle w:val="NormalWeb"/>
        <w:rPr>
          <w:sz w:val="22"/>
          <w:szCs w:val="22"/>
        </w:rPr>
      </w:pPr>
      <w:r w:rsidRPr="00506381">
        <w:rPr>
          <w:rStyle w:val="Strong"/>
          <w:rFonts w:eastAsiaTheme="majorEastAsia"/>
          <w:sz w:val="22"/>
          <w:szCs w:val="22"/>
        </w:rPr>
        <w:t>Operational Highlights</w:t>
      </w:r>
    </w:p>
    <w:p w14:paraId="086A7EC8" w14:textId="77777777" w:rsidR="00506381" w:rsidRPr="00506381" w:rsidRDefault="00506381" w:rsidP="00127934">
      <w:pPr>
        <w:pStyle w:val="NormalWeb"/>
        <w:numPr>
          <w:ilvl w:val="0"/>
          <w:numId w:val="39"/>
        </w:numPr>
        <w:rPr>
          <w:sz w:val="22"/>
          <w:szCs w:val="22"/>
        </w:rPr>
      </w:pPr>
      <w:r w:rsidRPr="00506381">
        <w:rPr>
          <w:sz w:val="22"/>
          <w:szCs w:val="22"/>
        </w:rPr>
        <w:t xml:space="preserve">Total lumber production: </w:t>
      </w:r>
      <w:r w:rsidRPr="00506381">
        <w:rPr>
          <w:rStyle w:val="Strong"/>
          <w:rFonts w:eastAsiaTheme="majorEastAsia"/>
          <w:sz w:val="22"/>
          <w:szCs w:val="22"/>
        </w:rPr>
        <w:t>776 million board feet (MMBF)</w:t>
      </w:r>
      <w:r w:rsidRPr="00506381">
        <w:rPr>
          <w:sz w:val="22"/>
          <w:szCs w:val="22"/>
        </w:rPr>
        <w:t xml:space="preserve">, down 6% YoY; operating rate of </w:t>
      </w:r>
      <w:r w:rsidRPr="00506381">
        <w:rPr>
          <w:rStyle w:val="Strong"/>
          <w:rFonts w:eastAsiaTheme="majorEastAsia"/>
          <w:sz w:val="22"/>
          <w:szCs w:val="22"/>
        </w:rPr>
        <w:t>72%</w:t>
      </w:r>
      <w:r w:rsidRPr="00506381">
        <w:rPr>
          <w:sz w:val="22"/>
          <w:szCs w:val="22"/>
        </w:rPr>
        <w:t>.</w:t>
      </w:r>
    </w:p>
    <w:p w14:paraId="788E69A9" w14:textId="77777777" w:rsidR="00506381" w:rsidRPr="00506381" w:rsidRDefault="00506381" w:rsidP="00127934">
      <w:pPr>
        <w:pStyle w:val="NormalWeb"/>
        <w:numPr>
          <w:ilvl w:val="0"/>
          <w:numId w:val="39"/>
        </w:numPr>
        <w:rPr>
          <w:sz w:val="22"/>
          <w:szCs w:val="22"/>
        </w:rPr>
      </w:pPr>
      <w:r w:rsidRPr="00506381">
        <w:rPr>
          <w:sz w:val="22"/>
          <w:szCs w:val="22"/>
        </w:rPr>
        <w:t xml:space="preserve">U.S. South operations (including Alabama) ran at </w:t>
      </w:r>
      <w:r w:rsidRPr="00506381">
        <w:rPr>
          <w:rStyle w:val="Strong"/>
          <w:rFonts w:eastAsiaTheme="majorEastAsia"/>
          <w:sz w:val="22"/>
          <w:szCs w:val="22"/>
        </w:rPr>
        <w:t>82% utilization</w:t>
      </w:r>
      <w:r w:rsidRPr="00506381">
        <w:rPr>
          <w:sz w:val="22"/>
          <w:szCs w:val="22"/>
        </w:rPr>
        <w:t>, significantly outperforming B.C. operations (61%) and Eastern Canada (69%).</w:t>
      </w:r>
    </w:p>
    <w:p w14:paraId="0A7882A4" w14:textId="77777777" w:rsidR="00506381" w:rsidRPr="00506381" w:rsidRDefault="00506381" w:rsidP="00127934">
      <w:pPr>
        <w:pStyle w:val="NormalWeb"/>
        <w:numPr>
          <w:ilvl w:val="0"/>
          <w:numId w:val="39"/>
        </w:numPr>
        <w:rPr>
          <w:sz w:val="22"/>
          <w:szCs w:val="22"/>
        </w:rPr>
      </w:pPr>
      <w:r w:rsidRPr="00506381">
        <w:rPr>
          <w:rStyle w:val="Strong"/>
          <w:rFonts w:eastAsiaTheme="majorEastAsia"/>
          <w:sz w:val="22"/>
          <w:szCs w:val="22"/>
        </w:rPr>
        <w:lastRenderedPageBreak/>
        <w:t>Belk, Alabama sawmill</w:t>
      </w:r>
      <w:r w:rsidRPr="00506381">
        <w:rPr>
          <w:sz w:val="22"/>
          <w:szCs w:val="22"/>
        </w:rPr>
        <w:t xml:space="preserve"> is included in the Southern operations portfolio and continues to operate near full capacity.</w:t>
      </w:r>
    </w:p>
    <w:p w14:paraId="4C388600" w14:textId="77777777" w:rsidR="00506381" w:rsidRPr="00506381" w:rsidRDefault="00506381" w:rsidP="00127934">
      <w:pPr>
        <w:pStyle w:val="NormalWeb"/>
        <w:numPr>
          <w:ilvl w:val="0"/>
          <w:numId w:val="39"/>
        </w:numPr>
        <w:rPr>
          <w:sz w:val="22"/>
          <w:szCs w:val="22"/>
        </w:rPr>
      </w:pPr>
      <w:r w:rsidRPr="00506381">
        <w:rPr>
          <w:sz w:val="22"/>
          <w:szCs w:val="22"/>
        </w:rPr>
        <w:t>Temporary production reductions were enacted in British Columbia due to log cost pressures, regulatory constraints, and market conditions.</w:t>
      </w:r>
    </w:p>
    <w:p w14:paraId="2F797F39" w14:textId="77777777" w:rsidR="00506381" w:rsidRPr="00506381" w:rsidRDefault="00506381" w:rsidP="00127934">
      <w:pPr>
        <w:pStyle w:val="NormalWeb"/>
        <w:numPr>
          <w:ilvl w:val="0"/>
          <w:numId w:val="39"/>
        </w:numPr>
        <w:rPr>
          <w:sz w:val="22"/>
          <w:szCs w:val="22"/>
        </w:rPr>
      </w:pPr>
      <w:r w:rsidRPr="00506381">
        <w:rPr>
          <w:sz w:val="22"/>
          <w:szCs w:val="22"/>
        </w:rPr>
        <w:t>Eastern Canada operations were stable but impacted by soft U.S. export markets and weaker demand from the Northeast.</w:t>
      </w:r>
    </w:p>
    <w:p w14:paraId="631283A6" w14:textId="77777777" w:rsidR="00506381" w:rsidRPr="00506381" w:rsidRDefault="00506381" w:rsidP="00127934">
      <w:pPr>
        <w:pStyle w:val="NormalWeb"/>
        <w:numPr>
          <w:ilvl w:val="0"/>
          <w:numId w:val="39"/>
        </w:numPr>
        <w:rPr>
          <w:sz w:val="22"/>
          <w:szCs w:val="22"/>
        </w:rPr>
      </w:pPr>
      <w:r w:rsidRPr="00506381">
        <w:rPr>
          <w:sz w:val="22"/>
          <w:szCs w:val="22"/>
        </w:rPr>
        <w:t>Focused on reducing unscheduled downtime through improved mill maintenance practices, lean manufacturing, and workforce stability in the South.</w:t>
      </w:r>
    </w:p>
    <w:p w14:paraId="58515E41" w14:textId="77777777" w:rsidR="00506381" w:rsidRPr="00506381" w:rsidRDefault="00506381" w:rsidP="00506381">
      <w:pPr>
        <w:pStyle w:val="NormalWeb"/>
        <w:rPr>
          <w:sz w:val="22"/>
          <w:szCs w:val="22"/>
        </w:rPr>
      </w:pPr>
      <w:r w:rsidRPr="00506381">
        <w:rPr>
          <w:rStyle w:val="Strong"/>
          <w:rFonts w:eastAsiaTheme="majorEastAsia"/>
          <w:sz w:val="22"/>
          <w:szCs w:val="22"/>
        </w:rPr>
        <w:t>Business Expansions &amp; Capital Expenditure Plans</w:t>
      </w:r>
    </w:p>
    <w:p w14:paraId="4499D37B" w14:textId="77777777" w:rsidR="00506381" w:rsidRPr="00506381" w:rsidRDefault="00506381" w:rsidP="00127934">
      <w:pPr>
        <w:pStyle w:val="NormalWeb"/>
        <w:numPr>
          <w:ilvl w:val="0"/>
          <w:numId w:val="40"/>
        </w:numPr>
        <w:rPr>
          <w:sz w:val="22"/>
          <w:szCs w:val="22"/>
        </w:rPr>
      </w:pPr>
      <w:r w:rsidRPr="00506381">
        <w:rPr>
          <w:rStyle w:val="Strong"/>
          <w:rFonts w:eastAsiaTheme="majorEastAsia"/>
          <w:sz w:val="22"/>
          <w:szCs w:val="22"/>
        </w:rPr>
        <w:t xml:space="preserve">Total </w:t>
      </w:r>
      <w:proofErr w:type="spellStart"/>
      <w:r w:rsidRPr="00506381">
        <w:rPr>
          <w:rStyle w:val="Strong"/>
          <w:rFonts w:eastAsiaTheme="majorEastAsia"/>
          <w:sz w:val="22"/>
          <w:szCs w:val="22"/>
        </w:rPr>
        <w:t>CapEx</w:t>
      </w:r>
      <w:proofErr w:type="spellEnd"/>
      <w:r w:rsidRPr="00506381">
        <w:rPr>
          <w:rStyle w:val="Strong"/>
          <w:rFonts w:eastAsiaTheme="majorEastAsia"/>
          <w:sz w:val="22"/>
          <w:szCs w:val="22"/>
        </w:rPr>
        <w:t xml:space="preserve"> for Q2</w:t>
      </w:r>
      <w:r w:rsidRPr="00506381">
        <w:rPr>
          <w:sz w:val="22"/>
          <w:szCs w:val="22"/>
        </w:rPr>
        <w:t xml:space="preserve">: </w:t>
      </w:r>
      <w:r w:rsidRPr="00506381">
        <w:rPr>
          <w:rStyle w:val="Strong"/>
          <w:rFonts w:eastAsiaTheme="majorEastAsia"/>
          <w:sz w:val="22"/>
          <w:szCs w:val="22"/>
        </w:rPr>
        <w:t>CAD 32 million</w:t>
      </w:r>
      <w:r w:rsidRPr="00506381">
        <w:rPr>
          <w:sz w:val="22"/>
          <w:szCs w:val="22"/>
        </w:rPr>
        <w:t xml:space="preserve">, part of a full-year forecast of </w:t>
      </w:r>
      <w:r w:rsidRPr="00506381">
        <w:rPr>
          <w:rStyle w:val="Strong"/>
          <w:rFonts w:eastAsiaTheme="majorEastAsia"/>
          <w:sz w:val="22"/>
          <w:szCs w:val="22"/>
        </w:rPr>
        <w:t>CAD 140–160 million</w:t>
      </w:r>
      <w:r w:rsidRPr="00506381">
        <w:rPr>
          <w:sz w:val="22"/>
          <w:szCs w:val="22"/>
        </w:rPr>
        <w:t>.</w:t>
      </w:r>
    </w:p>
    <w:p w14:paraId="5C52F6CA" w14:textId="77777777" w:rsidR="00506381" w:rsidRPr="00506381" w:rsidRDefault="00506381" w:rsidP="00127934">
      <w:pPr>
        <w:pStyle w:val="NormalWeb"/>
        <w:numPr>
          <w:ilvl w:val="0"/>
          <w:numId w:val="40"/>
        </w:numPr>
        <w:rPr>
          <w:sz w:val="22"/>
          <w:szCs w:val="22"/>
        </w:rPr>
      </w:pPr>
      <w:r w:rsidRPr="00506381">
        <w:rPr>
          <w:sz w:val="22"/>
          <w:szCs w:val="22"/>
        </w:rPr>
        <w:t xml:space="preserve">Growth and discretionary </w:t>
      </w:r>
      <w:proofErr w:type="spellStart"/>
      <w:r w:rsidRPr="00506381">
        <w:rPr>
          <w:sz w:val="22"/>
          <w:szCs w:val="22"/>
        </w:rPr>
        <w:t>CapEx</w:t>
      </w:r>
      <w:proofErr w:type="spellEnd"/>
      <w:r w:rsidRPr="00506381">
        <w:rPr>
          <w:sz w:val="22"/>
          <w:szCs w:val="22"/>
        </w:rPr>
        <w:t xml:space="preserve"> </w:t>
      </w:r>
      <w:proofErr w:type="gramStart"/>
      <w:r w:rsidRPr="00506381">
        <w:rPr>
          <w:sz w:val="22"/>
          <w:szCs w:val="22"/>
        </w:rPr>
        <w:t>remains</w:t>
      </w:r>
      <w:proofErr w:type="gramEnd"/>
      <w:r w:rsidRPr="00506381">
        <w:rPr>
          <w:sz w:val="22"/>
          <w:szCs w:val="22"/>
        </w:rPr>
        <w:t xml:space="preserve"> constrained; priority given to:</w:t>
      </w:r>
    </w:p>
    <w:p w14:paraId="75D28CCE" w14:textId="77777777" w:rsidR="00506381" w:rsidRPr="00506381" w:rsidRDefault="00506381" w:rsidP="00127934">
      <w:pPr>
        <w:pStyle w:val="NormalWeb"/>
        <w:numPr>
          <w:ilvl w:val="1"/>
          <w:numId w:val="40"/>
        </w:numPr>
        <w:rPr>
          <w:sz w:val="22"/>
          <w:szCs w:val="22"/>
        </w:rPr>
      </w:pPr>
      <w:r w:rsidRPr="00506381">
        <w:rPr>
          <w:sz w:val="22"/>
          <w:szCs w:val="22"/>
        </w:rPr>
        <w:t xml:space="preserve">Maintenance and reliability upgrades at </w:t>
      </w:r>
      <w:r w:rsidRPr="00506381">
        <w:rPr>
          <w:rStyle w:val="Strong"/>
          <w:rFonts w:eastAsiaTheme="majorEastAsia"/>
          <w:sz w:val="22"/>
          <w:szCs w:val="22"/>
        </w:rPr>
        <w:t>U.S. South mills</w:t>
      </w:r>
    </w:p>
    <w:p w14:paraId="2970AA7B" w14:textId="77777777" w:rsidR="00506381" w:rsidRPr="00506381" w:rsidRDefault="00506381" w:rsidP="00127934">
      <w:pPr>
        <w:pStyle w:val="NormalWeb"/>
        <w:numPr>
          <w:ilvl w:val="1"/>
          <w:numId w:val="40"/>
        </w:numPr>
        <w:rPr>
          <w:sz w:val="22"/>
          <w:szCs w:val="22"/>
        </w:rPr>
      </w:pPr>
      <w:r w:rsidRPr="00506381">
        <w:rPr>
          <w:sz w:val="22"/>
          <w:szCs w:val="22"/>
        </w:rPr>
        <w:t>Safety, environmental, and regulatory compliance</w:t>
      </w:r>
    </w:p>
    <w:p w14:paraId="6248FD09" w14:textId="77777777" w:rsidR="00506381" w:rsidRPr="00506381" w:rsidRDefault="00506381" w:rsidP="00127934">
      <w:pPr>
        <w:pStyle w:val="NormalWeb"/>
        <w:numPr>
          <w:ilvl w:val="1"/>
          <w:numId w:val="40"/>
        </w:numPr>
        <w:rPr>
          <w:sz w:val="22"/>
          <w:szCs w:val="22"/>
        </w:rPr>
      </w:pPr>
      <w:r w:rsidRPr="00506381">
        <w:rPr>
          <w:sz w:val="22"/>
          <w:szCs w:val="22"/>
        </w:rPr>
        <w:t>Optimization of drying, debarking, and material handling systems</w:t>
      </w:r>
    </w:p>
    <w:p w14:paraId="25201FA2" w14:textId="77777777" w:rsidR="00506381" w:rsidRPr="00506381" w:rsidRDefault="00506381" w:rsidP="00127934">
      <w:pPr>
        <w:pStyle w:val="NormalWeb"/>
        <w:numPr>
          <w:ilvl w:val="0"/>
          <w:numId w:val="40"/>
        </w:numPr>
        <w:rPr>
          <w:sz w:val="22"/>
          <w:szCs w:val="22"/>
        </w:rPr>
      </w:pPr>
      <w:r w:rsidRPr="00506381">
        <w:rPr>
          <w:sz w:val="22"/>
          <w:szCs w:val="22"/>
        </w:rPr>
        <w:t>Interfor is deferring larger expansion projects in British Columbia and Ontario until market conditions improve.</w:t>
      </w:r>
    </w:p>
    <w:p w14:paraId="5C6A49C4" w14:textId="77777777" w:rsidR="00506381" w:rsidRPr="00506381" w:rsidRDefault="00506381" w:rsidP="00127934">
      <w:pPr>
        <w:pStyle w:val="NormalWeb"/>
        <w:numPr>
          <w:ilvl w:val="0"/>
          <w:numId w:val="40"/>
        </w:numPr>
        <w:rPr>
          <w:sz w:val="22"/>
          <w:szCs w:val="22"/>
        </w:rPr>
      </w:pPr>
      <w:r w:rsidRPr="00506381">
        <w:rPr>
          <w:sz w:val="22"/>
          <w:szCs w:val="22"/>
        </w:rPr>
        <w:t xml:space="preserve">Strategic investment thesis remains centered on growing the </w:t>
      </w:r>
      <w:r w:rsidRPr="00506381">
        <w:rPr>
          <w:rStyle w:val="Strong"/>
          <w:rFonts w:eastAsiaTheme="majorEastAsia"/>
          <w:sz w:val="22"/>
          <w:szCs w:val="22"/>
        </w:rPr>
        <w:t>U.S. South footprint</w:t>
      </w:r>
      <w:r w:rsidRPr="00506381">
        <w:rPr>
          <w:sz w:val="22"/>
          <w:szCs w:val="22"/>
        </w:rPr>
        <w:t>, with Alabama considered part of the long-term core.</w:t>
      </w:r>
    </w:p>
    <w:p w14:paraId="749CBBB7" w14:textId="77777777" w:rsidR="00506381" w:rsidRPr="00506381" w:rsidRDefault="00506381" w:rsidP="00127934">
      <w:pPr>
        <w:pStyle w:val="NormalWeb"/>
        <w:numPr>
          <w:ilvl w:val="0"/>
          <w:numId w:val="40"/>
        </w:numPr>
        <w:rPr>
          <w:sz w:val="22"/>
          <w:szCs w:val="22"/>
        </w:rPr>
      </w:pPr>
      <w:r w:rsidRPr="00506381">
        <w:rPr>
          <w:sz w:val="22"/>
          <w:szCs w:val="22"/>
        </w:rPr>
        <w:t>Reviewing opportunities for strategic partnerships, asset swaps, or future bolt-on acquisitions — particularly in the South.</w:t>
      </w:r>
    </w:p>
    <w:p w14:paraId="3BDA61AD" w14:textId="77777777" w:rsidR="00506381" w:rsidRPr="00506381" w:rsidRDefault="00506381" w:rsidP="00506381">
      <w:pPr>
        <w:pStyle w:val="NormalWeb"/>
        <w:rPr>
          <w:sz w:val="22"/>
          <w:szCs w:val="22"/>
        </w:rPr>
      </w:pPr>
      <w:r w:rsidRPr="00506381">
        <w:rPr>
          <w:rStyle w:val="Strong"/>
          <w:rFonts w:eastAsiaTheme="majorEastAsia"/>
          <w:sz w:val="22"/>
          <w:szCs w:val="22"/>
        </w:rPr>
        <w:t>Segment Performance &amp; Outlook</w:t>
      </w:r>
    </w:p>
    <w:p w14:paraId="43E20FFA" w14:textId="77777777" w:rsidR="00506381" w:rsidRPr="00506381" w:rsidRDefault="00506381" w:rsidP="00127934">
      <w:pPr>
        <w:pStyle w:val="NormalWeb"/>
        <w:numPr>
          <w:ilvl w:val="0"/>
          <w:numId w:val="41"/>
        </w:numPr>
        <w:rPr>
          <w:sz w:val="22"/>
          <w:szCs w:val="22"/>
        </w:rPr>
      </w:pPr>
      <w:r w:rsidRPr="00506381">
        <w:rPr>
          <w:rStyle w:val="Strong"/>
          <w:rFonts w:eastAsiaTheme="majorEastAsia"/>
          <w:sz w:val="22"/>
          <w:szCs w:val="22"/>
        </w:rPr>
        <w:t>U.S. South</w:t>
      </w:r>
      <w:r w:rsidRPr="00506381">
        <w:rPr>
          <w:sz w:val="22"/>
          <w:szCs w:val="22"/>
        </w:rPr>
        <w:t>:</w:t>
      </w:r>
    </w:p>
    <w:p w14:paraId="528BB366" w14:textId="77777777" w:rsidR="00506381" w:rsidRPr="00506381" w:rsidRDefault="00506381" w:rsidP="00127934">
      <w:pPr>
        <w:pStyle w:val="NormalWeb"/>
        <w:numPr>
          <w:ilvl w:val="1"/>
          <w:numId w:val="41"/>
        </w:numPr>
        <w:rPr>
          <w:sz w:val="22"/>
          <w:szCs w:val="22"/>
        </w:rPr>
      </w:pPr>
      <w:r w:rsidRPr="00506381">
        <w:rPr>
          <w:sz w:val="22"/>
          <w:szCs w:val="22"/>
        </w:rPr>
        <w:t>Operating margin slightly positive despite weak pricing</w:t>
      </w:r>
    </w:p>
    <w:p w14:paraId="546E3821" w14:textId="77777777" w:rsidR="00506381" w:rsidRPr="00506381" w:rsidRDefault="00506381" w:rsidP="00127934">
      <w:pPr>
        <w:pStyle w:val="NormalWeb"/>
        <w:numPr>
          <w:ilvl w:val="1"/>
          <w:numId w:val="41"/>
        </w:numPr>
        <w:rPr>
          <w:sz w:val="22"/>
          <w:szCs w:val="22"/>
        </w:rPr>
      </w:pPr>
      <w:r w:rsidRPr="00506381">
        <w:rPr>
          <w:sz w:val="22"/>
          <w:szCs w:val="22"/>
        </w:rPr>
        <w:t>Higher uptime, better log costs, and mill efficiency offset part of margin compression</w:t>
      </w:r>
    </w:p>
    <w:p w14:paraId="236C2F4B" w14:textId="77777777" w:rsidR="00506381" w:rsidRPr="00506381" w:rsidRDefault="00506381" w:rsidP="00127934">
      <w:pPr>
        <w:pStyle w:val="NormalWeb"/>
        <w:numPr>
          <w:ilvl w:val="1"/>
          <w:numId w:val="41"/>
        </w:numPr>
        <w:rPr>
          <w:sz w:val="22"/>
          <w:szCs w:val="22"/>
        </w:rPr>
      </w:pPr>
      <w:r w:rsidRPr="00506381">
        <w:rPr>
          <w:rStyle w:val="Strong"/>
          <w:rFonts w:eastAsiaTheme="majorEastAsia"/>
          <w:sz w:val="22"/>
          <w:szCs w:val="22"/>
        </w:rPr>
        <w:t>Belk, AL mill</w:t>
      </w:r>
      <w:r w:rsidRPr="00506381">
        <w:rPr>
          <w:sz w:val="22"/>
          <w:szCs w:val="22"/>
        </w:rPr>
        <w:t xml:space="preserve"> continues to contribute with consistent output and lean labor model</w:t>
      </w:r>
    </w:p>
    <w:p w14:paraId="085F19E8" w14:textId="77777777" w:rsidR="00506381" w:rsidRPr="00506381" w:rsidRDefault="00506381" w:rsidP="00127934">
      <w:pPr>
        <w:pStyle w:val="NormalWeb"/>
        <w:numPr>
          <w:ilvl w:val="1"/>
          <w:numId w:val="41"/>
        </w:numPr>
        <w:rPr>
          <w:sz w:val="22"/>
          <w:szCs w:val="22"/>
        </w:rPr>
      </w:pPr>
      <w:r w:rsidRPr="00506381">
        <w:rPr>
          <w:sz w:val="22"/>
          <w:szCs w:val="22"/>
        </w:rPr>
        <w:t>Regional demand supported by residential repair &amp; remodel (R&amp;R) and low multi-family inventories</w:t>
      </w:r>
    </w:p>
    <w:p w14:paraId="43717B99" w14:textId="77777777" w:rsidR="00506381" w:rsidRPr="00506381" w:rsidRDefault="00506381" w:rsidP="00127934">
      <w:pPr>
        <w:pStyle w:val="NormalWeb"/>
        <w:numPr>
          <w:ilvl w:val="0"/>
          <w:numId w:val="41"/>
        </w:numPr>
        <w:rPr>
          <w:sz w:val="22"/>
          <w:szCs w:val="22"/>
        </w:rPr>
      </w:pPr>
      <w:r w:rsidRPr="00506381">
        <w:rPr>
          <w:rStyle w:val="Strong"/>
          <w:rFonts w:eastAsiaTheme="majorEastAsia"/>
          <w:sz w:val="22"/>
          <w:szCs w:val="22"/>
        </w:rPr>
        <w:t>B.C.</w:t>
      </w:r>
      <w:r w:rsidRPr="00506381">
        <w:rPr>
          <w:sz w:val="22"/>
          <w:szCs w:val="22"/>
        </w:rPr>
        <w:t>:</w:t>
      </w:r>
    </w:p>
    <w:p w14:paraId="739F7DC3" w14:textId="77777777" w:rsidR="00506381" w:rsidRPr="00506381" w:rsidRDefault="00506381" w:rsidP="00127934">
      <w:pPr>
        <w:pStyle w:val="NormalWeb"/>
        <w:numPr>
          <w:ilvl w:val="1"/>
          <w:numId w:val="41"/>
        </w:numPr>
        <w:rPr>
          <w:sz w:val="22"/>
          <w:szCs w:val="22"/>
        </w:rPr>
      </w:pPr>
      <w:r w:rsidRPr="00506381">
        <w:rPr>
          <w:sz w:val="22"/>
          <w:szCs w:val="22"/>
        </w:rPr>
        <w:t>High-cost structure and log availability continue to impair margins</w:t>
      </w:r>
    </w:p>
    <w:p w14:paraId="48A8923B" w14:textId="77777777" w:rsidR="00506381" w:rsidRPr="00506381" w:rsidRDefault="00506381" w:rsidP="00127934">
      <w:pPr>
        <w:pStyle w:val="NormalWeb"/>
        <w:numPr>
          <w:ilvl w:val="1"/>
          <w:numId w:val="41"/>
        </w:numPr>
        <w:rPr>
          <w:sz w:val="22"/>
          <w:szCs w:val="22"/>
        </w:rPr>
      </w:pPr>
      <w:r w:rsidRPr="00506381">
        <w:rPr>
          <w:sz w:val="22"/>
          <w:szCs w:val="22"/>
        </w:rPr>
        <w:t>Multiple weeks of curtailment implemented in Q2; full restart unlikely in H2 without pricing recovery</w:t>
      </w:r>
    </w:p>
    <w:p w14:paraId="05FECCF6" w14:textId="77777777" w:rsidR="00506381" w:rsidRPr="00506381" w:rsidRDefault="00506381" w:rsidP="00127934">
      <w:pPr>
        <w:pStyle w:val="NormalWeb"/>
        <w:numPr>
          <w:ilvl w:val="0"/>
          <w:numId w:val="41"/>
        </w:numPr>
        <w:rPr>
          <w:sz w:val="22"/>
          <w:szCs w:val="22"/>
        </w:rPr>
      </w:pPr>
      <w:r w:rsidRPr="00506381">
        <w:rPr>
          <w:rStyle w:val="Strong"/>
          <w:rFonts w:eastAsiaTheme="majorEastAsia"/>
          <w:sz w:val="22"/>
          <w:szCs w:val="22"/>
        </w:rPr>
        <w:t>Eastern Canada</w:t>
      </w:r>
      <w:r w:rsidRPr="00506381">
        <w:rPr>
          <w:sz w:val="22"/>
          <w:szCs w:val="22"/>
        </w:rPr>
        <w:t>:</w:t>
      </w:r>
    </w:p>
    <w:p w14:paraId="1B099F95" w14:textId="77777777" w:rsidR="00506381" w:rsidRPr="00506381" w:rsidRDefault="00506381" w:rsidP="00127934">
      <w:pPr>
        <w:pStyle w:val="NormalWeb"/>
        <w:numPr>
          <w:ilvl w:val="1"/>
          <w:numId w:val="41"/>
        </w:numPr>
        <w:rPr>
          <w:sz w:val="22"/>
          <w:szCs w:val="22"/>
        </w:rPr>
      </w:pPr>
      <w:r w:rsidRPr="00506381">
        <w:rPr>
          <w:sz w:val="22"/>
          <w:szCs w:val="22"/>
        </w:rPr>
        <w:t>Production flat YoY, but margins compressed by poor pricing in Quebec and Ontario</w:t>
      </w:r>
    </w:p>
    <w:p w14:paraId="5B3BE308" w14:textId="77777777" w:rsidR="00506381" w:rsidRPr="00506381" w:rsidRDefault="00506381" w:rsidP="00127934">
      <w:pPr>
        <w:pStyle w:val="NormalWeb"/>
        <w:numPr>
          <w:ilvl w:val="1"/>
          <w:numId w:val="41"/>
        </w:numPr>
        <w:rPr>
          <w:sz w:val="22"/>
          <w:szCs w:val="22"/>
        </w:rPr>
      </w:pPr>
      <w:r w:rsidRPr="00506381">
        <w:rPr>
          <w:sz w:val="22"/>
          <w:szCs w:val="22"/>
        </w:rPr>
        <w:t>Higher freight costs to U.S. Southeast impacted competitiveness</w:t>
      </w:r>
    </w:p>
    <w:p w14:paraId="238183D2" w14:textId="77777777" w:rsidR="00506381" w:rsidRPr="00506381" w:rsidRDefault="00506381" w:rsidP="00127934">
      <w:pPr>
        <w:pStyle w:val="NormalWeb"/>
        <w:numPr>
          <w:ilvl w:val="0"/>
          <w:numId w:val="41"/>
        </w:numPr>
        <w:rPr>
          <w:sz w:val="22"/>
          <w:szCs w:val="22"/>
        </w:rPr>
      </w:pPr>
      <w:r w:rsidRPr="00506381">
        <w:rPr>
          <w:rStyle w:val="Strong"/>
          <w:rFonts w:eastAsiaTheme="majorEastAsia"/>
          <w:sz w:val="22"/>
          <w:szCs w:val="22"/>
        </w:rPr>
        <w:t>Outlook</w:t>
      </w:r>
      <w:r w:rsidRPr="00506381">
        <w:rPr>
          <w:sz w:val="22"/>
          <w:szCs w:val="22"/>
        </w:rPr>
        <w:t>:</w:t>
      </w:r>
    </w:p>
    <w:p w14:paraId="3AAAE7EE" w14:textId="77777777" w:rsidR="00506381" w:rsidRPr="00506381" w:rsidRDefault="00506381" w:rsidP="00127934">
      <w:pPr>
        <w:pStyle w:val="NormalWeb"/>
        <w:numPr>
          <w:ilvl w:val="1"/>
          <w:numId w:val="41"/>
        </w:numPr>
        <w:rPr>
          <w:sz w:val="22"/>
          <w:szCs w:val="22"/>
        </w:rPr>
      </w:pPr>
      <w:r w:rsidRPr="00506381">
        <w:rPr>
          <w:sz w:val="22"/>
          <w:szCs w:val="22"/>
        </w:rPr>
        <w:t>Lumber markets expected to remain volatile through 2025; modest pricing improvement possible in late Q3 due to seasonal demand</w:t>
      </w:r>
    </w:p>
    <w:p w14:paraId="49906ABB" w14:textId="77777777" w:rsidR="00506381" w:rsidRPr="00506381" w:rsidRDefault="00506381" w:rsidP="00127934">
      <w:pPr>
        <w:pStyle w:val="NormalWeb"/>
        <w:numPr>
          <w:ilvl w:val="1"/>
          <w:numId w:val="41"/>
        </w:numPr>
        <w:rPr>
          <w:sz w:val="22"/>
          <w:szCs w:val="22"/>
        </w:rPr>
      </w:pPr>
      <w:r w:rsidRPr="00506381">
        <w:rPr>
          <w:sz w:val="22"/>
          <w:szCs w:val="22"/>
        </w:rPr>
        <w:t>Near-term focus is on cost control, working capital optimization, and maximizing production in high-return mills (mainly in U.S. South)</w:t>
      </w:r>
    </w:p>
    <w:p w14:paraId="445B5689" w14:textId="77777777" w:rsidR="00506381" w:rsidRPr="00506381" w:rsidRDefault="00506381" w:rsidP="00127934">
      <w:pPr>
        <w:pStyle w:val="NormalWeb"/>
        <w:numPr>
          <w:ilvl w:val="1"/>
          <w:numId w:val="41"/>
        </w:numPr>
        <w:rPr>
          <w:sz w:val="22"/>
          <w:szCs w:val="22"/>
        </w:rPr>
      </w:pPr>
      <w:r w:rsidRPr="00506381">
        <w:rPr>
          <w:sz w:val="22"/>
          <w:szCs w:val="22"/>
        </w:rPr>
        <w:t xml:space="preserve">Management reaffirmed belief in long-term housing fundamentals in the Southeast U.S., which should continue to support mills like </w:t>
      </w:r>
      <w:r w:rsidRPr="00506381">
        <w:rPr>
          <w:rStyle w:val="Strong"/>
          <w:rFonts w:eastAsiaTheme="majorEastAsia"/>
          <w:sz w:val="22"/>
          <w:szCs w:val="22"/>
        </w:rPr>
        <w:t>Belk, Alabama</w:t>
      </w:r>
    </w:p>
    <w:p w14:paraId="7F138DFF" w14:textId="77777777" w:rsidR="00506381" w:rsidRPr="00506381" w:rsidRDefault="00506381" w:rsidP="00127934">
      <w:pPr>
        <w:pStyle w:val="NormalWeb"/>
        <w:numPr>
          <w:ilvl w:val="1"/>
          <w:numId w:val="41"/>
        </w:numPr>
        <w:rPr>
          <w:sz w:val="22"/>
          <w:szCs w:val="22"/>
        </w:rPr>
      </w:pPr>
      <w:r w:rsidRPr="00506381">
        <w:rPr>
          <w:sz w:val="22"/>
          <w:szCs w:val="22"/>
        </w:rPr>
        <w:t>No changes to dividend or share buyback programs; capital allocation remains conservative</w:t>
      </w:r>
    </w:p>
    <w:p w14:paraId="22F97CB5" w14:textId="77777777" w:rsidR="00A045D5" w:rsidRPr="00506381" w:rsidRDefault="00A045D5" w:rsidP="2535092B">
      <w:pPr>
        <w:rPr>
          <w:rFonts w:ascii="Times New Roman" w:eastAsia="Times New Roman" w:hAnsi="Times New Roman" w:cs="Times New Roman"/>
        </w:rPr>
      </w:pPr>
    </w:p>
    <w:p w14:paraId="16EB7DFA" w14:textId="75A532F1" w:rsidR="008B733A" w:rsidRPr="00BC0D8E" w:rsidRDefault="34354836" w:rsidP="008B733A">
      <w:pPr>
        <w:pStyle w:val="Heading2"/>
        <w:rPr>
          <w:rFonts w:cs="Times New Roman"/>
        </w:rPr>
      </w:pPr>
      <w:bookmarkStart w:id="53" w:name="_Toc147824667"/>
      <w:bookmarkStart w:id="54" w:name="_Toc212796752"/>
      <w:r w:rsidRPr="2535092B">
        <w:rPr>
          <w:rFonts w:cs="Times New Roman"/>
        </w:rPr>
        <w:lastRenderedPageBreak/>
        <w:t>International Paper Co. (</w:t>
      </w:r>
      <w:proofErr w:type="gramStart"/>
      <w:r w:rsidRPr="2535092B">
        <w:rPr>
          <w:rFonts w:cs="Times New Roman"/>
        </w:rPr>
        <w:t>NYSE:IP</w:t>
      </w:r>
      <w:proofErr w:type="gramEnd"/>
      <w:r w:rsidRPr="2535092B">
        <w:rPr>
          <w:rFonts w:cs="Times New Roman"/>
        </w:rPr>
        <w:t>)</w:t>
      </w:r>
      <w:bookmarkEnd w:id="53"/>
      <w:bookmarkEnd w:id="54"/>
      <w:r w:rsidR="008B733A">
        <w:tab/>
      </w:r>
    </w:p>
    <w:p w14:paraId="634CA880" w14:textId="0343259C" w:rsidR="008B733A" w:rsidRPr="00BC0D8E" w:rsidRDefault="02FFA956" w:rsidP="008B733A">
      <w:pPr>
        <w:pStyle w:val="Heading3"/>
        <w:rPr>
          <w:rFonts w:cs="Times New Roman"/>
        </w:rPr>
      </w:pPr>
      <w:bookmarkStart w:id="55" w:name="_Toc147824668"/>
      <w:bookmarkStart w:id="56" w:name="_Toc212796753"/>
      <w:r w:rsidRPr="2EEB26EF">
        <w:rPr>
          <w:rFonts w:cs="Times New Roman"/>
        </w:rPr>
        <w:t xml:space="preserve">Outlook: </w:t>
      </w:r>
      <w:bookmarkEnd w:id="55"/>
      <w:r w:rsidR="00CE1784">
        <w:rPr>
          <w:rFonts w:cs="Times New Roman"/>
        </w:rPr>
        <w:t>Neutral</w:t>
      </w:r>
      <w:bookmarkEnd w:id="56"/>
    </w:p>
    <w:p w14:paraId="0EE917AF" w14:textId="178B2C34" w:rsidR="008B733A" w:rsidRPr="00BC0D8E" w:rsidRDefault="02FFA956" w:rsidP="2535092B">
      <w:pPr>
        <w:pStyle w:val="Heading3"/>
        <w:rPr>
          <w:rFonts w:eastAsia="Times New Roman" w:cs="Times New Roman"/>
          <w:color w:val="00B050"/>
        </w:rPr>
      </w:pPr>
      <w:bookmarkStart w:id="57" w:name="_Toc147824669"/>
      <w:bookmarkStart w:id="58" w:name="_Toc212796754"/>
      <w:r w:rsidRPr="2EEB26EF">
        <w:rPr>
          <w:rFonts w:cs="Times New Roman"/>
        </w:rPr>
        <w:t xml:space="preserve">AL Outlook: </w:t>
      </w:r>
      <w:bookmarkEnd w:id="57"/>
      <w:r w:rsidR="00CE1784" w:rsidRPr="00AF2939">
        <w:rPr>
          <w:rFonts w:cs="Times New Roman"/>
          <w:color w:val="00B050"/>
        </w:rPr>
        <w:t>Positive</w:t>
      </w:r>
      <w:bookmarkEnd w:id="58"/>
    </w:p>
    <w:p w14:paraId="21C84100" w14:textId="549E65FD" w:rsidR="02FFA956" w:rsidRDefault="02FFA956" w:rsidP="0227D82F">
      <w:pPr>
        <w:rPr>
          <w:rFonts w:ascii="Times New Roman" w:hAnsi="Times New Roman" w:cs="Times New Roman"/>
          <w:b/>
          <w:bCs/>
        </w:rPr>
      </w:pPr>
      <w:r w:rsidRPr="0227D82F">
        <w:rPr>
          <w:rFonts w:ascii="Times New Roman" w:hAnsi="Times New Roman" w:cs="Times New Roman"/>
          <w:b/>
          <w:bCs/>
        </w:rPr>
        <w:t xml:space="preserve">Recommended Action: </w:t>
      </w:r>
      <w:r w:rsidR="0FE96480" w:rsidRPr="0227D82F">
        <w:rPr>
          <w:rFonts w:ascii="Times New Roman" w:hAnsi="Times New Roman" w:cs="Times New Roman"/>
        </w:rPr>
        <w:t>N/A</w:t>
      </w:r>
    </w:p>
    <w:p w14:paraId="648F9414" w14:textId="205D95EE" w:rsidR="00F71615" w:rsidRDefault="7085AD0A" w:rsidP="3CA273EB">
      <w:pPr>
        <w:rPr>
          <w:rFonts w:ascii="Times New Roman" w:eastAsia="Times New Roman" w:hAnsi="Times New Roman" w:cs="Times New Roman"/>
          <w:color w:val="000000" w:themeColor="text1"/>
        </w:rPr>
      </w:pPr>
      <w:r w:rsidRPr="2EEB26EF">
        <w:rPr>
          <w:rFonts w:ascii="Times New Roman" w:eastAsia="Times New Roman" w:hAnsi="Times New Roman" w:cs="Times New Roman"/>
          <w:b/>
          <w:bCs/>
          <w:color w:val="000000" w:themeColor="text1"/>
        </w:rPr>
        <w:t>Alabama Location(s)</w:t>
      </w:r>
      <w:r w:rsidRPr="2EEB26EF">
        <w:rPr>
          <w:rFonts w:ascii="Times New Roman" w:eastAsia="Times New Roman" w:hAnsi="Times New Roman" w:cs="Times New Roman"/>
          <w:color w:val="000000" w:themeColor="text1"/>
        </w:rPr>
        <w:t>: Bay Minette: Containerboard Plant; Prattville: Containerboard Plant; Decatur: Containerboard Plant; Huntsville: Sheet Plant; Dothan: Sheet Plant; Selma: Paper Mill</w:t>
      </w:r>
    </w:p>
    <w:p w14:paraId="1871F0D5" w14:textId="77777777" w:rsidR="001F5C54" w:rsidRPr="00213B86" w:rsidRDefault="001F5C54" w:rsidP="001F5C54">
      <w:pPr>
        <w:pStyle w:val="NormalWeb"/>
        <w:rPr>
          <w:sz w:val="22"/>
          <w:szCs w:val="22"/>
        </w:rPr>
      </w:pPr>
      <w:r w:rsidRPr="00213B86">
        <w:rPr>
          <w:rStyle w:val="Strong"/>
          <w:rFonts w:eastAsiaTheme="majorEastAsia"/>
          <w:sz w:val="22"/>
          <w:szCs w:val="22"/>
        </w:rPr>
        <w:t>Key Takeaways</w:t>
      </w:r>
    </w:p>
    <w:p w14:paraId="6630DB71" w14:textId="77777777" w:rsidR="001F5C54" w:rsidRPr="00213B86" w:rsidRDefault="001F5C54" w:rsidP="00127934">
      <w:pPr>
        <w:pStyle w:val="NormalWeb"/>
        <w:numPr>
          <w:ilvl w:val="0"/>
          <w:numId w:val="42"/>
        </w:numPr>
        <w:rPr>
          <w:sz w:val="22"/>
          <w:szCs w:val="22"/>
        </w:rPr>
      </w:pPr>
      <w:r w:rsidRPr="00213B86">
        <w:rPr>
          <w:sz w:val="22"/>
          <w:szCs w:val="22"/>
        </w:rPr>
        <w:t xml:space="preserve">International Paper reported </w:t>
      </w:r>
      <w:r w:rsidRPr="00213B86">
        <w:rPr>
          <w:rStyle w:val="Strong"/>
          <w:rFonts w:eastAsiaTheme="majorEastAsia"/>
          <w:sz w:val="22"/>
          <w:szCs w:val="22"/>
        </w:rPr>
        <w:t>strong sequential improvement</w:t>
      </w:r>
      <w:r w:rsidRPr="00213B86">
        <w:rPr>
          <w:sz w:val="22"/>
          <w:szCs w:val="22"/>
        </w:rPr>
        <w:t xml:space="preserve"> in Q2 2025, driven by higher volumes, improved pricing, and better operating performance across its key businesses.</w:t>
      </w:r>
    </w:p>
    <w:p w14:paraId="7B5F6380" w14:textId="77777777" w:rsidR="001F5C54" w:rsidRPr="00213B86" w:rsidRDefault="001F5C54" w:rsidP="00127934">
      <w:pPr>
        <w:pStyle w:val="NormalWeb"/>
        <w:numPr>
          <w:ilvl w:val="0"/>
          <w:numId w:val="42"/>
        </w:numPr>
        <w:rPr>
          <w:sz w:val="22"/>
          <w:szCs w:val="22"/>
        </w:rPr>
      </w:pPr>
      <w:r w:rsidRPr="00213B86">
        <w:rPr>
          <w:sz w:val="22"/>
          <w:szCs w:val="22"/>
        </w:rPr>
        <w:t>Paper and Packaging demand is stabilizing across end markets, particularly in food, beverage, and e-commerce; destocking appears complete.</w:t>
      </w:r>
    </w:p>
    <w:p w14:paraId="15792375" w14:textId="77777777" w:rsidR="001F5C54" w:rsidRPr="00213B86" w:rsidRDefault="001F5C54" w:rsidP="00127934">
      <w:pPr>
        <w:pStyle w:val="NormalWeb"/>
        <w:numPr>
          <w:ilvl w:val="0"/>
          <w:numId w:val="42"/>
        </w:numPr>
        <w:rPr>
          <w:sz w:val="22"/>
          <w:szCs w:val="22"/>
        </w:rPr>
      </w:pPr>
      <w:r w:rsidRPr="00213B86">
        <w:rPr>
          <w:sz w:val="22"/>
          <w:szCs w:val="22"/>
        </w:rPr>
        <w:t>Sequential price realization accelerated due to previously announced containerboard and box price increases, with most pricing now fully implemented.</w:t>
      </w:r>
    </w:p>
    <w:p w14:paraId="63520004" w14:textId="77777777" w:rsidR="001F5C54" w:rsidRPr="00213B86" w:rsidRDefault="001F5C54" w:rsidP="00127934">
      <w:pPr>
        <w:pStyle w:val="NormalWeb"/>
        <w:numPr>
          <w:ilvl w:val="0"/>
          <w:numId w:val="42"/>
        </w:numPr>
        <w:rPr>
          <w:sz w:val="22"/>
          <w:szCs w:val="22"/>
        </w:rPr>
      </w:pPr>
      <w:r w:rsidRPr="00213B86">
        <w:rPr>
          <w:sz w:val="22"/>
          <w:szCs w:val="22"/>
        </w:rPr>
        <w:t>Significant cost takeout programs contributed ~$95 million in savings during the quarter, with more to come in H2.</w:t>
      </w:r>
    </w:p>
    <w:p w14:paraId="5BD7825A" w14:textId="77777777" w:rsidR="001F5C54" w:rsidRPr="00213B86" w:rsidRDefault="001F5C54" w:rsidP="00127934">
      <w:pPr>
        <w:pStyle w:val="NormalWeb"/>
        <w:numPr>
          <w:ilvl w:val="0"/>
          <w:numId w:val="42"/>
        </w:numPr>
        <w:rPr>
          <w:sz w:val="22"/>
          <w:szCs w:val="22"/>
        </w:rPr>
      </w:pPr>
      <w:r w:rsidRPr="00213B86">
        <w:rPr>
          <w:sz w:val="22"/>
          <w:szCs w:val="22"/>
        </w:rPr>
        <w:t xml:space="preserve">Multiple facilities across </w:t>
      </w:r>
      <w:r w:rsidRPr="00213B86">
        <w:rPr>
          <w:rStyle w:val="Strong"/>
          <w:rFonts w:eastAsiaTheme="majorEastAsia"/>
          <w:sz w:val="22"/>
          <w:szCs w:val="22"/>
        </w:rPr>
        <w:t>Alabama</w:t>
      </w:r>
      <w:r w:rsidRPr="00213B86">
        <w:rPr>
          <w:sz w:val="22"/>
          <w:szCs w:val="22"/>
        </w:rPr>
        <w:t xml:space="preserve"> (Bay Minette, Prattville, Decatur, Huntsville, Dothan, and Selma) are part of the Industrial Packaging and Printing Papers segments and likely benefited from volume and margin improvement.</w:t>
      </w:r>
    </w:p>
    <w:p w14:paraId="75B09BEC" w14:textId="77777777" w:rsidR="001F5C54" w:rsidRPr="00213B86" w:rsidRDefault="001F5C54" w:rsidP="00127934">
      <w:pPr>
        <w:pStyle w:val="NormalWeb"/>
        <w:numPr>
          <w:ilvl w:val="0"/>
          <w:numId w:val="42"/>
        </w:numPr>
        <w:rPr>
          <w:sz w:val="22"/>
          <w:szCs w:val="22"/>
        </w:rPr>
      </w:pPr>
      <w:r w:rsidRPr="00213B86">
        <w:rPr>
          <w:sz w:val="22"/>
          <w:szCs w:val="22"/>
        </w:rPr>
        <w:t>IP raised its full-year earnings and free cash flow guidance, citing strong order books and a rebound in export containerboard demand.</w:t>
      </w:r>
    </w:p>
    <w:p w14:paraId="135A95C9" w14:textId="77777777" w:rsidR="001F5C54" w:rsidRPr="00213B86" w:rsidRDefault="001F5C54" w:rsidP="001F5C54">
      <w:pPr>
        <w:pStyle w:val="NormalWeb"/>
        <w:rPr>
          <w:sz w:val="22"/>
          <w:szCs w:val="22"/>
        </w:rPr>
      </w:pPr>
      <w:r w:rsidRPr="00213B86">
        <w:rPr>
          <w:rStyle w:val="Strong"/>
          <w:rFonts w:eastAsiaTheme="majorEastAsia"/>
          <w:sz w:val="22"/>
          <w:szCs w:val="22"/>
        </w:rPr>
        <w:t>Financial Highlights</w:t>
      </w:r>
    </w:p>
    <w:p w14:paraId="15310CF9" w14:textId="77777777" w:rsidR="001F5C54" w:rsidRPr="00213B86" w:rsidRDefault="001F5C54" w:rsidP="00127934">
      <w:pPr>
        <w:pStyle w:val="NormalWeb"/>
        <w:numPr>
          <w:ilvl w:val="0"/>
          <w:numId w:val="43"/>
        </w:numPr>
        <w:rPr>
          <w:sz w:val="22"/>
          <w:szCs w:val="22"/>
        </w:rPr>
      </w:pPr>
      <w:r w:rsidRPr="00213B86">
        <w:rPr>
          <w:sz w:val="22"/>
          <w:szCs w:val="22"/>
        </w:rPr>
        <w:t xml:space="preserve">Net sales: </w:t>
      </w:r>
      <w:r w:rsidRPr="00213B86">
        <w:rPr>
          <w:rStyle w:val="Strong"/>
          <w:rFonts w:eastAsiaTheme="majorEastAsia"/>
          <w:sz w:val="22"/>
          <w:szCs w:val="22"/>
        </w:rPr>
        <w:t>$4.8 billion</w:t>
      </w:r>
      <w:r w:rsidRPr="00213B86">
        <w:rPr>
          <w:sz w:val="22"/>
          <w:szCs w:val="22"/>
        </w:rPr>
        <w:t xml:space="preserve">, up </w:t>
      </w:r>
      <w:r w:rsidRPr="00213B86">
        <w:rPr>
          <w:rStyle w:val="Strong"/>
          <w:rFonts w:eastAsiaTheme="majorEastAsia"/>
          <w:sz w:val="22"/>
          <w:szCs w:val="22"/>
        </w:rPr>
        <w:t>6% QoQ</w:t>
      </w:r>
      <w:r w:rsidRPr="00213B86">
        <w:rPr>
          <w:sz w:val="22"/>
          <w:szCs w:val="22"/>
        </w:rPr>
        <w:t>, flat YoY; higher volumes and pricing offset by currency and input cost headwinds.</w:t>
      </w:r>
    </w:p>
    <w:p w14:paraId="15CB74D7" w14:textId="77777777" w:rsidR="001F5C54" w:rsidRPr="00213B86" w:rsidRDefault="001F5C54" w:rsidP="00127934">
      <w:pPr>
        <w:pStyle w:val="NormalWeb"/>
        <w:numPr>
          <w:ilvl w:val="0"/>
          <w:numId w:val="43"/>
        </w:numPr>
        <w:rPr>
          <w:sz w:val="22"/>
          <w:szCs w:val="22"/>
        </w:rPr>
      </w:pPr>
      <w:r w:rsidRPr="00213B86">
        <w:rPr>
          <w:sz w:val="22"/>
          <w:szCs w:val="22"/>
        </w:rPr>
        <w:t xml:space="preserve">Adjusted operating earnings: </w:t>
      </w:r>
      <w:r w:rsidRPr="00213B86">
        <w:rPr>
          <w:rStyle w:val="Strong"/>
          <w:rFonts w:eastAsiaTheme="majorEastAsia"/>
          <w:sz w:val="22"/>
          <w:szCs w:val="22"/>
        </w:rPr>
        <w:t>$0.80 per share</w:t>
      </w:r>
      <w:r w:rsidRPr="00213B86">
        <w:rPr>
          <w:sz w:val="22"/>
          <w:szCs w:val="22"/>
        </w:rPr>
        <w:t>, up from $0.53 in Q1 and $0.78 in Q2 2024; beat analyst consensus by 5%.</w:t>
      </w:r>
    </w:p>
    <w:p w14:paraId="394E216A" w14:textId="77777777" w:rsidR="001F5C54" w:rsidRPr="00213B86" w:rsidRDefault="001F5C54" w:rsidP="00127934">
      <w:pPr>
        <w:pStyle w:val="NormalWeb"/>
        <w:numPr>
          <w:ilvl w:val="0"/>
          <w:numId w:val="43"/>
        </w:numPr>
        <w:rPr>
          <w:sz w:val="22"/>
          <w:szCs w:val="22"/>
        </w:rPr>
      </w:pPr>
      <w:r w:rsidRPr="00213B86">
        <w:rPr>
          <w:sz w:val="22"/>
          <w:szCs w:val="22"/>
        </w:rPr>
        <w:t xml:space="preserve">Operating profit: </w:t>
      </w:r>
      <w:r w:rsidRPr="00213B86">
        <w:rPr>
          <w:rStyle w:val="Strong"/>
          <w:rFonts w:eastAsiaTheme="majorEastAsia"/>
          <w:sz w:val="22"/>
          <w:szCs w:val="22"/>
        </w:rPr>
        <w:t>$520 million</w:t>
      </w:r>
      <w:r w:rsidRPr="00213B86">
        <w:rPr>
          <w:sz w:val="22"/>
          <w:szCs w:val="22"/>
        </w:rPr>
        <w:t xml:space="preserve">, up 27% QoQ; </w:t>
      </w:r>
      <w:proofErr w:type="gramStart"/>
      <w:r w:rsidRPr="00213B86">
        <w:rPr>
          <w:sz w:val="22"/>
          <w:szCs w:val="22"/>
        </w:rPr>
        <w:t>Packaging segment</w:t>
      </w:r>
      <w:proofErr w:type="gramEnd"/>
      <w:r w:rsidRPr="00213B86">
        <w:rPr>
          <w:sz w:val="22"/>
          <w:szCs w:val="22"/>
        </w:rPr>
        <w:t xml:space="preserve"> accounted for 84% of total profit.</w:t>
      </w:r>
    </w:p>
    <w:p w14:paraId="0564BA06" w14:textId="77777777" w:rsidR="001F5C54" w:rsidRPr="00213B86" w:rsidRDefault="001F5C54" w:rsidP="00127934">
      <w:pPr>
        <w:pStyle w:val="NormalWeb"/>
        <w:numPr>
          <w:ilvl w:val="0"/>
          <w:numId w:val="43"/>
        </w:numPr>
        <w:rPr>
          <w:sz w:val="22"/>
          <w:szCs w:val="22"/>
        </w:rPr>
      </w:pPr>
      <w:r w:rsidRPr="00213B86">
        <w:rPr>
          <w:sz w:val="22"/>
          <w:szCs w:val="22"/>
        </w:rPr>
        <w:t xml:space="preserve">Free cash flow: </w:t>
      </w:r>
      <w:r w:rsidRPr="00213B86">
        <w:rPr>
          <w:rStyle w:val="Strong"/>
          <w:rFonts w:eastAsiaTheme="majorEastAsia"/>
          <w:sz w:val="22"/>
          <w:szCs w:val="22"/>
        </w:rPr>
        <w:t>$415 million</w:t>
      </w:r>
      <w:r w:rsidRPr="00213B86">
        <w:rPr>
          <w:sz w:val="22"/>
          <w:szCs w:val="22"/>
        </w:rPr>
        <w:t xml:space="preserve">, driven by improved working capital and lower </w:t>
      </w:r>
      <w:proofErr w:type="spellStart"/>
      <w:r w:rsidRPr="00213B86">
        <w:rPr>
          <w:sz w:val="22"/>
          <w:szCs w:val="22"/>
        </w:rPr>
        <w:t>CapEx</w:t>
      </w:r>
      <w:proofErr w:type="spellEnd"/>
      <w:r w:rsidRPr="00213B86">
        <w:rPr>
          <w:sz w:val="22"/>
          <w:szCs w:val="22"/>
        </w:rPr>
        <w:t>.</w:t>
      </w:r>
    </w:p>
    <w:p w14:paraId="04413BD8" w14:textId="77777777" w:rsidR="001F5C54" w:rsidRPr="00213B86" w:rsidRDefault="001F5C54" w:rsidP="00127934">
      <w:pPr>
        <w:pStyle w:val="NormalWeb"/>
        <w:numPr>
          <w:ilvl w:val="0"/>
          <w:numId w:val="43"/>
        </w:numPr>
        <w:rPr>
          <w:sz w:val="22"/>
          <w:szCs w:val="22"/>
        </w:rPr>
      </w:pPr>
      <w:proofErr w:type="spellStart"/>
      <w:r w:rsidRPr="00213B86">
        <w:rPr>
          <w:sz w:val="22"/>
          <w:szCs w:val="22"/>
        </w:rPr>
        <w:t>CapEx</w:t>
      </w:r>
      <w:proofErr w:type="spellEnd"/>
      <w:r w:rsidRPr="00213B86">
        <w:rPr>
          <w:sz w:val="22"/>
          <w:szCs w:val="22"/>
        </w:rPr>
        <w:t xml:space="preserve"> for Q2: </w:t>
      </w:r>
      <w:r w:rsidRPr="00213B86">
        <w:rPr>
          <w:rStyle w:val="Strong"/>
          <w:rFonts w:eastAsiaTheme="majorEastAsia"/>
          <w:sz w:val="22"/>
          <w:szCs w:val="22"/>
        </w:rPr>
        <w:t>$290 million</w:t>
      </w:r>
      <w:r w:rsidRPr="00213B86">
        <w:rPr>
          <w:sz w:val="22"/>
          <w:szCs w:val="22"/>
        </w:rPr>
        <w:t xml:space="preserve">; full-year estimate reaffirmed at </w:t>
      </w:r>
      <w:r w:rsidRPr="00213B86">
        <w:rPr>
          <w:rStyle w:val="Strong"/>
          <w:rFonts w:eastAsiaTheme="majorEastAsia"/>
          <w:sz w:val="22"/>
          <w:szCs w:val="22"/>
        </w:rPr>
        <w:t>$1.2 billion</w:t>
      </w:r>
      <w:r w:rsidRPr="00213B86">
        <w:rPr>
          <w:sz w:val="22"/>
          <w:szCs w:val="22"/>
        </w:rPr>
        <w:t>.</w:t>
      </w:r>
    </w:p>
    <w:p w14:paraId="55A181C5" w14:textId="77777777" w:rsidR="001F5C54" w:rsidRPr="00213B86" w:rsidRDefault="001F5C54" w:rsidP="00127934">
      <w:pPr>
        <w:pStyle w:val="NormalWeb"/>
        <w:numPr>
          <w:ilvl w:val="0"/>
          <w:numId w:val="43"/>
        </w:numPr>
        <w:rPr>
          <w:sz w:val="22"/>
          <w:szCs w:val="22"/>
        </w:rPr>
      </w:pPr>
      <w:r w:rsidRPr="00213B86">
        <w:rPr>
          <w:sz w:val="22"/>
          <w:szCs w:val="22"/>
        </w:rPr>
        <w:t xml:space="preserve">Net debt: </w:t>
      </w:r>
      <w:r w:rsidRPr="00213B86">
        <w:rPr>
          <w:rStyle w:val="Strong"/>
          <w:rFonts w:eastAsiaTheme="majorEastAsia"/>
          <w:sz w:val="22"/>
          <w:szCs w:val="22"/>
        </w:rPr>
        <w:t>$4.1 billion</w:t>
      </w:r>
      <w:r w:rsidRPr="00213B86">
        <w:rPr>
          <w:sz w:val="22"/>
          <w:szCs w:val="22"/>
        </w:rPr>
        <w:t xml:space="preserve">; leverage ratio of </w:t>
      </w:r>
      <w:r w:rsidRPr="00213B86">
        <w:rPr>
          <w:rStyle w:val="Strong"/>
          <w:rFonts w:eastAsiaTheme="majorEastAsia"/>
          <w:sz w:val="22"/>
          <w:szCs w:val="22"/>
        </w:rPr>
        <w:t>2.1x EBITDA</w:t>
      </w:r>
      <w:r w:rsidRPr="00213B86">
        <w:rPr>
          <w:sz w:val="22"/>
          <w:szCs w:val="22"/>
        </w:rPr>
        <w:t>, within target range.</w:t>
      </w:r>
    </w:p>
    <w:p w14:paraId="2FFC342A" w14:textId="77777777" w:rsidR="001F5C54" w:rsidRPr="00213B86" w:rsidRDefault="001F5C54" w:rsidP="001F5C54">
      <w:pPr>
        <w:pStyle w:val="NormalWeb"/>
        <w:rPr>
          <w:sz w:val="22"/>
          <w:szCs w:val="22"/>
        </w:rPr>
      </w:pPr>
      <w:r w:rsidRPr="00213B86">
        <w:rPr>
          <w:rStyle w:val="Strong"/>
          <w:rFonts w:eastAsiaTheme="majorEastAsia"/>
          <w:sz w:val="22"/>
          <w:szCs w:val="22"/>
        </w:rPr>
        <w:t>Operational Highlights</w:t>
      </w:r>
    </w:p>
    <w:p w14:paraId="796A01AD" w14:textId="77777777" w:rsidR="001F5C54" w:rsidRPr="00213B86" w:rsidRDefault="001F5C54" w:rsidP="00127934">
      <w:pPr>
        <w:pStyle w:val="NormalWeb"/>
        <w:numPr>
          <w:ilvl w:val="0"/>
          <w:numId w:val="44"/>
        </w:numPr>
        <w:rPr>
          <w:sz w:val="22"/>
          <w:szCs w:val="22"/>
        </w:rPr>
      </w:pPr>
      <w:r w:rsidRPr="00213B86">
        <w:rPr>
          <w:sz w:val="22"/>
          <w:szCs w:val="22"/>
        </w:rPr>
        <w:t xml:space="preserve">Mill system ran at </w:t>
      </w:r>
      <w:r w:rsidRPr="00213B86">
        <w:rPr>
          <w:rStyle w:val="Strong"/>
          <w:rFonts w:eastAsiaTheme="majorEastAsia"/>
          <w:sz w:val="22"/>
          <w:szCs w:val="22"/>
        </w:rPr>
        <w:t>94% capacity utilization</w:t>
      </w:r>
      <w:r w:rsidRPr="00213B86">
        <w:rPr>
          <w:sz w:val="22"/>
          <w:szCs w:val="22"/>
        </w:rPr>
        <w:t>, up from 88% in Q1, driven by better demand and improved reliability.</w:t>
      </w:r>
    </w:p>
    <w:p w14:paraId="72CF428E" w14:textId="77777777" w:rsidR="001F5C54" w:rsidRPr="00213B86" w:rsidRDefault="001F5C54" w:rsidP="00127934">
      <w:pPr>
        <w:pStyle w:val="NormalWeb"/>
        <w:numPr>
          <w:ilvl w:val="0"/>
          <w:numId w:val="44"/>
        </w:numPr>
        <w:rPr>
          <w:sz w:val="22"/>
          <w:szCs w:val="22"/>
        </w:rPr>
      </w:pPr>
      <w:r w:rsidRPr="00213B86">
        <w:rPr>
          <w:sz w:val="22"/>
          <w:szCs w:val="22"/>
        </w:rPr>
        <w:t>Box shipments increased 5% QoQ, led by gains in food &amp; beverage, agriculture, and logistics end markets.</w:t>
      </w:r>
    </w:p>
    <w:p w14:paraId="14393368" w14:textId="77777777" w:rsidR="001F5C54" w:rsidRPr="00213B86" w:rsidRDefault="001F5C54" w:rsidP="00127934">
      <w:pPr>
        <w:pStyle w:val="NormalWeb"/>
        <w:numPr>
          <w:ilvl w:val="0"/>
          <w:numId w:val="44"/>
        </w:numPr>
        <w:rPr>
          <w:sz w:val="22"/>
          <w:szCs w:val="22"/>
        </w:rPr>
      </w:pPr>
      <w:r w:rsidRPr="00213B86">
        <w:rPr>
          <w:sz w:val="22"/>
          <w:szCs w:val="22"/>
        </w:rPr>
        <w:t xml:space="preserve">Export containerboard shipments grew 13% sequentially, particularly </w:t>
      </w:r>
      <w:proofErr w:type="gramStart"/>
      <w:r w:rsidRPr="00213B86">
        <w:rPr>
          <w:sz w:val="22"/>
          <w:szCs w:val="22"/>
        </w:rPr>
        <w:t>into</w:t>
      </w:r>
      <w:proofErr w:type="gramEnd"/>
      <w:r w:rsidRPr="00213B86">
        <w:rPr>
          <w:sz w:val="22"/>
          <w:szCs w:val="22"/>
        </w:rPr>
        <w:t xml:space="preserve"> Latin America and Asia.</w:t>
      </w:r>
    </w:p>
    <w:p w14:paraId="7175CCF5" w14:textId="77777777" w:rsidR="001F5C54" w:rsidRPr="00213B86" w:rsidRDefault="001F5C54" w:rsidP="00127934">
      <w:pPr>
        <w:pStyle w:val="NormalWeb"/>
        <w:numPr>
          <w:ilvl w:val="0"/>
          <w:numId w:val="44"/>
        </w:numPr>
        <w:rPr>
          <w:sz w:val="22"/>
          <w:szCs w:val="22"/>
        </w:rPr>
      </w:pPr>
      <w:r w:rsidRPr="00213B86">
        <w:rPr>
          <w:rStyle w:val="Strong"/>
          <w:rFonts w:eastAsiaTheme="majorEastAsia"/>
          <w:sz w:val="22"/>
          <w:szCs w:val="22"/>
        </w:rPr>
        <w:t>Inventory days dropped by 4</w:t>
      </w:r>
      <w:r w:rsidRPr="00213B86">
        <w:rPr>
          <w:sz w:val="22"/>
          <w:szCs w:val="22"/>
        </w:rPr>
        <w:t>, reflecting strong order backlogs and improved mill-to-customer cycle time.</w:t>
      </w:r>
    </w:p>
    <w:p w14:paraId="4F44CB57" w14:textId="77777777" w:rsidR="001F5C54" w:rsidRPr="00213B86" w:rsidRDefault="001F5C54" w:rsidP="00127934">
      <w:pPr>
        <w:pStyle w:val="NormalWeb"/>
        <w:numPr>
          <w:ilvl w:val="0"/>
          <w:numId w:val="44"/>
        </w:numPr>
        <w:rPr>
          <w:sz w:val="22"/>
          <w:szCs w:val="22"/>
        </w:rPr>
      </w:pPr>
      <w:r w:rsidRPr="00213B86">
        <w:rPr>
          <w:sz w:val="22"/>
          <w:szCs w:val="22"/>
        </w:rPr>
        <w:t xml:space="preserve">All major mills and converting plants reported improved uptime and cost performance, including </w:t>
      </w:r>
      <w:r w:rsidRPr="00213B86">
        <w:rPr>
          <w:rStyle w:val="Strong"/>
          <w:rFonts w:eastAsiaTheme="majorEastAsia"/>
          <w:sz w:val="22"/>
          <w:szCs w:val="22"/>
        </w:rPr>
        <w:t>Selma and Prattville, Alabama</w:t>
      </w:r>
      <w:r w:rsidRPr="00213B86">
        <w:rPr>
          <w:sz w:val="22"/>
          <w:szCs w:val="22"/>
        </w:rPr>
        <w:t xml:space="preserve"> operations.</w:t>
      </w:r>
    </w:p>
    <w:p w14:paraId="1D3997A8" w14:textId="77777777" w:rsidR="001F5C54" w:rsidRPr="00213B86" w:rsidRDefault="001F5C54" w:rsidP="00127934">
      <w:pPr>
        <w:pStyle w:val="NormalWeb"/>
        <w:numPr>
          <w:ilvl w:val="0"/>
          <w:numId w:val="44"/>
        </w:numPr>
        <w:rPr>
          <w:sz w:val="22"/>
          <w:szCs w:val="22"/>
        </w:rPr>
      </w:pPr>
      <w:r w:rsidRPr="00213B86">
        <w:rPr>
          <w:sz w:val="22"/>
          <w:szCs w:val="22"/>
        </w:rPr>
        <w:lastRenderedPageBreak/>
        <w:t>Supply chain optimization and lean logistics execution yielded $40M in quarterly savings.</w:t>
      </w:r>
    </w:p>
    <w:p w14:paraId="457BD3B5" w14:textId="77777777" w:rsidR="001F5C54" w:rsidRPr="00213B86" w:rsidRDefault="001F5C54" w:rsidP="001F5C54">
      <w:pPr>
        <w:pStyle w:val="NormalWeb"/>
        <w:rPr>
          <w:sz w:val="22"/>
          <w:szCs w:val="22"/>
        </w:rPr>
      </w:pPr>
      <w:r w:rsidRPr="00213B86">
        <w:rPr>
          <w:rStyle w:val="Strong"/>
          <w:rFonts w:eastAsiaTheme="majorEastAsia"/>
          <w:sz w:val="22"/>
          <w:szCs w:val="22"/>
        </w:rPr>
        <w:t>Business Expansions &amp; Capital Expenditure Plans</w:t>
      </w:r>
    </w:p>
    <w:p w14:paraId="3A75B220" w14:textId="77777777" w:rsidR="001F5C54" w:rsidRPr="00213B86" w:rsidRDefault="001F5C54" w:rsidP="00127934">
      <w:pPr>
        <w:pStyle w:val="NormalWeb"/>
        <w:numPr>
          <w:ilvl w:val="0"/>
          <w:numId w:val="45"/>
        </w:numPr>
        <w:rPr>
          <w:sz w:val="22"/>
          <w:szCs w:val="22"/>
        </w:rPr>
      </w:pPr>
      <w:r w:rsidRPr="00213B86">
        <w:rPr>
          <w:sz w:val="22"/>
          <w:szCs w:val="22"/>
        </w:rPr>
        <w:t xml:space="preserve">Q2 </w:t>
      </w:r>
      <w:proofErr w:type="spellStart"/>
      <w:r w:rsidRPr="00213B86">
        <w:rPr>
          <w:sz w:val="22"/>
          <w:szCs w:val="22"/>
        </w:rPr>
        <w:t>CapEx</w:t>
      </w:r>
      <w:proofErr w:type="spellEnd"/>
      <w:r w:rsidRPr="00213B86">
        <w:rPr>
          <w:sz w:val="22"/>
          <w:szCs w:val="22"/>
        </w:rPr>
        <w:t xml:space="preserve">: </w:t>
      </w:r>
      <w:r w:rsidRPr="00213B86">
        <w:rPr>
          <w:rStyle w:val="Strong"/>
          <w:rFonts w:eastAsiaTheme="majorEastAsia"/>
          <w:sz w:val="22"/>
          <w:szCs w:val="22"/>
        </w:rPr>
        <w:t>$290 million</w:t>
      </w:r>
      <w:r w:rsidRPr="00213B86">
        <w:rPr>
          <w:sz w:val="22"/>
          <w:szCs w:val="22"/>
        </w:rPr>
        <w:t>, focused on:</w:t>
      </w:r>
    </w:p>
    <w:p w14:paraId="503F5AA1" w14:textId="77777777" w:rsidR="001F5C54" w:rsidRPr="00213B86" w:rsidRDefault="001F5C54" w:rsidP="00127934">
      <w:pPr>
        <w:pStyle w:val="NormalWeb"/>
        <w:numPr>
          <w:ilvl w:val="1"/>
          <w:numId w:val="45"/>
        </w:numPr>
        <w:rPr>
          <w:sz w:val="22"/>
          <w:szCs w:val="22"/>
        </w:rPr>
      </w:pPr>
      <w:r w:rsidRPr="00213B86">
        <w:rPr>
          <w:sz w:val="22"/>
          <w:szCs w:val="22"/>
        </w:rPr>
        <w:t>Box plant automation (conveyors, corrugators, robotic palletizing)</w:t>
      </w:r>
    </w:p>
    <w:p w14:paraId="2984A6A2" w14:textId="77777777" w:rsidR="001F5C54" w:rsidRPr="00213B86" w:rsidRDefault="001F5C54" w:rsidP="00127934">
      <w:pPr>
        <w:pStyle w:val="NormalWeb"/>
        <w:numPr>
          <w:ilvl w:val="1"/>
          <w:numId w:val="45"/>
        </w:numPr>
        <w:rPr>
          <w:sz w:val="22"/>
          <w:szCs w:val="22"/>
        </w:rPr>
      </w:pPr>
      <w:r w:rsidRPr="00213B86">
        <w:rPr>
          <w:sz w:val="22"/>
          <w:szCs w:val="22"/>
        </w:rPr>
        <w:t>Safety and environmental upgrades</w:t>
      </w:r>
    </w:p>
    <w:p w14:paraId="60F96E04" w14:textId="77777777" w:rsidR="001F5C54" w:rsidRPr="00213B86" w:rsidRDefault="001F5C54" w:rsidP="00127934">
      <w:pPr>
        <w:pStyle w:val="NormalWeb"/>
        <w:numPr>
          <w:ilvl w:val="1"/>
          <w:numId w:val="45"/>
        </w:numPr>
        <w:rPr>
          <w:sz w:val="22"/>
          <w:szCs w:val="22"/>
        </w:rPr>
      </w:pPr>
      <w:r w:rsidRPr="00213B86">
        <w:rPr>
          <w:sz w:val="22"/>
          <w:szCs w:val="22"/>
        </w:rPr>
        <w:t>Productivity investments in high-volume mills</w:t>
      </w:r>
    </w:p>
    <w:p w14:paraId="5BFE6F23" w14:textId="77777777" w:rsidR="001F5C54" w:rsidRPr="00213B86" w:rsidRDefault="001F5C54" w:rsidP="00127934">
      <w:pPr>
        <w:pStyle w:val="NormalWeb"/>
        <w:numPr>
          <w:ilvl w:val="0"/>
          <w:numId w:val="45"/>
        </w:numPr>
        <w:rPr>
          <w:sz w:val="22"/>
          <w:szCs w:val="22"/>
        </w:rPr>
      </w:pPr>
      <w:r w:rsidRPr="00213B86">
        <w:rPr>
          <w:rStyle w:val="Strong"/>
          <w:rFonts w:eastAsiaTheme="majorEastAsia"/>
          <w:sz w:val="22"/>
          <w:szCs w:val="22"/>
        </w:rPr>
        <w:t>Selma, AL</w:t>
      </w:r>
      <w:r w:rsidRPr="00213B86">
        <w:rPr>
          <w:sz w:val="22"/>
          <w:szCs w:val="22"/>
        </w:rPr>
        <w:t xml:space="preserve"> mill received a portion of IP’s mill-wide fiber optimization upgrades in Q2, targeting lower waste and energy consumption.</w:t>
      </w:r>
    </w:p>
    <w:p w14:paraId="4AFA69D5" w14:textId="77777777" w:rsidR="001F5C54" w:rsidRPr="00213B86" w:rsidRDefault="001F5C54" w:rsidP="00127934">
      <w:pPr>
        <w:pStyle w:val="NormalWeb"/>
        <w:numPr>
          <w:ilvl w:val="0"/>
          <w:numId w:val="45"/>
        </w:numPr>
        <w:rPr>
          <w:sz w:val="22"/>
          <w:szCs w:val="22"/>
        </w:rPr>
      </w:pPr>
      <w:r w:rsidRPr="00213B86">
        <w:rPr>
          <w:rStyle w:val="Strong"/>
          <w:rFonts w:eastAsiaTheme="majorEastAsia"/>
          <w:sz w:val="22"/>
          <w:szCs w:val="22"/>
        </w:rPr>
        <w:t>Prattville and Bay Minette, AL</w:t>
      </w:r>
      <w:r w:rsidRPr="00213B86">
        <w:rPr>
          <w:sz w:val="22"/>
          <w:szCs w:val="22"/>
        </w:rPr>
        <w:t xml:space="preserve"> mills included in multi-site reliability enhancement projects, including boiler and turbine retrofits.</w:t>
      </w:r>
    </w:p>
    <w:p w14:paraId="03BADB3C" w14:textId="77777777" w:rsidR="001F5C54" w:rsidRPr="00213B86" w:rsidRDefault="001F5C54" w:rsidP="00127934">
      <w:pPr>
        <w:pStyle w:val="NormalWeb"/>
        <w:numPr>
          <w:ilvl w:val="0"/>
          <w:numId w:val="45"/>
        </w:numPr>
        <w:rPr>
          <w:sz w:val="22"/>
          <w:szCs w:val="22"/>
        </w:rPr>
      </w:pPr>
      <w:r w:rsidRPr="00213B86">
        <w:rPr>
          <w:rStyle w:val="Strong"/>
          <w:rFonts w:eastAsiaTheme="majorEastAsia"/>
          <w:sz w:val="22"/>
          <w:szCs w:val="22"/>
        </w:rPr>
        <w:t>Dothan and Huntsville sheet plants</w:t>
      </w:r>
      <w:r w:rsidRPr="00213B86">
        <w:rPr>
          <w:sz w:val="22"/>
          <w:szCs w:val="22"/>
        </w:rPr>
        <w:t xml:space="preserve"> are benefiting from company-wide digital manufacturing initiatives, focused on yield and downtime reduction.</w:t>
      </w:r>
    </w:p>
    <w:p w14:paraId="327951E2" w14:textId="77777777" w:rsidR="001F5C54" w:rsidRPr="00213B86" w:rsidRDefault="001F5C54" w:rsidP="00127934">
      <w:pPr>
        <w:pStyle w:val="NormalWeb"/>
        <w:numPr>
          <w:ilvl w:val="0"/>
          <w:numId w:val="45"/>
        </w:numPr>
        <w:rPr>
          <w:sz w:val="22"/>
          <w:szCs w:val="22"/>
        </w:rPr>
      </w:pPr>
      <w:r w:rsidRPr="00213B86">
        <w:rPr>
          <w:sz w:val="22"/>
          <w:szCs w:val="22"/>
        </w:rPr>
        <w:t xml:space="preserve">Full-year </w:t>
      </w:r>
      <w:proofErr w:type="spellStart"/>
      <w:r w:rsidRPr="00213B86">
        <w:rPr>
          <w:sz w:val="22"/>
          <w:szCs w:val="22"/>
        </w:rPr>
        <w:t>CapEx</w:t>
      </w:r>
      <w:proofErr w:type="spellEnd"/>
      <w:r w:rsidRPr="00213B86">
        <w:rPr>
          <w:sz w:val="22"/>
          <w:szCs w:val="22"/>
        </w:rPr>
        <w:t xml:space="preserve"> guidance remains </w:t>
      </w:r>
      <w:r w:rsidRPr="00213B86">
        <w:rPr>
          <w:rStyle w:val="Strong"/>
          <w:rFonts w:eastAsiaTheme="majorEastAsia"/>
          <w:sz w:val="22"/>
          <w:szCs w:val="22"/>
        </w:rPr>
        <w:t>$1.2 billion</w:t>
      </w:r>
      <w:r w:rsidRPr="00213B86">
        <w:rPr>
          <w:sz w:val="22"/>
          <w:szCs w:val="22"/>
        </w:rPr>
        <w:t>, with ~70% directed toward packaging segment and strategic mill improvements.</w:t>
      </w:r>
    </w:p>
    <w:p w14:paraId="734710B5" w14:textId="77777777" w:rsidR="001F5C54" w:rsidRPr="00213B86" w:rsidRDefault="001F5C54" w:rsidP="00127934">
      <w:pPr>
        <w:pStyle w:val="NormalWeb"/>
        <w:numPr>
          <w:ilvl w:val="0"/>
          <w:numId w:val="45"/>
        </w:numPr>
        <w:rPr>
          <w:sz w:val="22"/>
          <w:szCs w:val="22"/>
        </w:rPr>
      </w:pPr>
      <w:r w:rsidRPr="00213B86">
        <w:rPr>
          <w:sz w:val="22"/>
          <w:szCs w:val="22"/>
        </w:rPr>
        <w:t xml:space="preserve">IP is continuing to evaluate </w:t>
      </w:r>
      <w:r w:rsidRPr="00213B86">
        <w:rPr>
          <w:rStyle w:val="Strong"/>
          <w:rFonts w:eastAsiaTheme="majorEastAsia"/>
          <w:sz w:val="22"/>
          <w:szCs w:val="22"/>
        </w:rPr>
        <w:t>modular capacity expansions</w:t>
      </w:r>
      <w:r w:rsidRPr="00213B86">
        <w:rPr>
          <w:sz w:val="22"/>
          <w:szCs w:val="22"/>
        </w:rPr>
        <w:t xml:space="preserve"> for key converting plants in the U.S. Southeast — Alabama remains a key geography.</w:t>
      </w:r>
    </w:p>
    <w:p w14:paraId="0858E625" w14:textId="77777777" w:rsidR="001F5C54" w:rsidRPr="00213B86" w:rsidRDefault="001F5C54" w:rsidP="001F5C54">
      <w:pPr>
        <w:pStyle w:val="NormalWeb"/>
        <w:rPr>
          <w:sz w:val="22"/>
          <w:szCs w:val="22"/>
        </w:rPr>
      </w:pPr>
      <w:r w:rsidRPr="00213B86">
        <w:rPr>
          <w:rStyle w:val="Strong"/>
          <w:rFonts w:eastAsiaTheme="majorEastAsia"/>
          <w:sz w:val="22"/>
          <w:szCs w:val="22"/>
        </w:rPr>
        <w:t>Segment Performance &amp; Outlook</w:t>
      </w:r>
    </w:p>
    <w:p w14:paraId="5581CC9E" w14:textId="77777777" w:rsidR="001F5C54" w:rsidRPr="00213B86" w:rsidRDefault="001F5C54" w:rsidP="00127934">
      <w:pPr>
        <w:pStyle w:val="NormalWeb"/>
        <w:numPr>
          <w:ilvl w:val="0"/>
          <w:numId w:val="46"/>
        </w:numPr>
        <w:rPr>
          <w:sz w:val="22"/>
          <w:szCs w:val="22"/>
        </w:rPr>
      </w:pPr>
      <w:r w:rsidRPr="00213B86">
        <w:rPr>
          <w:rStyle w:val="Strong"/>
          <w:rFonts w:eastAsiaTheme="majorEastAsia"/>
          <w:sz w:val="22"/>
          <w:szCs w:val="22"/>
        </w:rPr>
        <w:t>Industrial Packaging</w:t>
      </w:r>
      <w:r w:rsidRPr="00213B86">
        <w:rPr>
          <w:sz w:val="22"/>
          <w:szCs w:val="22"/>
        </w:rPr>
        <w:t>:</w:t>
      </w:r>
    </w:p>
    <w:p w14:paraId="6F93A58F" w14:textId="77777777" w:rsidR="001F5C54" w:rsidRPr="00213B86" w:rsidRDefault="001F5C54" w:rsidP="00127934">
      <w:pPr>
        <w:pStyle w:val="NormalWeb"/>
        <w:numPr>
          <w:ilvl w:val="1"/>
          <w:numId w:val="46"/>
        </w:numPr>
        <w:rPr>
          <w:sz w:val="22"/>
          <w:szCs w:val="22"/>
        </w:rPr>
      </w:pPr>
      <w:r w:rsidRPr="00213B86">
        <w:rPr>
          <w:sz w:val="22"/>
          <w:szCs w:val="22"/>
        </w:rPr>
        <w:t>Net sales: $3.7 billion (+7% QoQ)</w:t>
      </w:r>
    </w:p>
    <w:p w14:paraId="0E4348D4" w14:textId="77777777" w:rsidR="001F5C54" w:rsidRPr="00213B86" w:rsidRDefault="001F5C54" w:rsidP="00127934">
      <w:pPr>
        <w:pStyle w:val="NormalWeb"/>
        <w:numPr>
          <w:ilvl w:val="1"/>
          <w:numId w:val="46"/>
        </w:numPr>
        <w:rPr>
          <w:sz w:val="22"/>
          <w:szCs w:val="22"/>
        </w:rPr>
      </w:pPr>
      <w:r w:rsidRPr="00213B86">
        <w:rPr>
          <w:sz w:val="22"/>
          <w:szCs w:val="22"/>
        </w:rPr>
        <w:t>Operating profit: $440 million (+32% QoQ)</w:t>
      </w:r>
    </w:p>
    <w:p w14:paraId="464D9374" w14:textId="77777777" w:rsidR="001F5C54" w:rsidRPr="00213B86" w:rsidRDefault="001F5C54" w:rsidP="00127934">
      <w:pPr>
        <w:pStyle w:val="NormalWeb"/>
        <w:numPr>
          <w:ilvl w:val="1"/>
          <w:numId w:val="46"/>
        </w:numPr>
        <w:rPr>
          <w:sz w:val="22"/>
          <w:szCs w:val="22"/>
        </w:rPr>
      </w:pPr>
      <w:r w:rsidRPr="00213B86">
        <w:rPr>
          <w:sz w:val="22"/>
          <w:szCs w:val="22"/>
        </w:rPr>
        <w:t>Full impact of Q1/Q2 price increases now visible in earnings</w:t>
      </w:r>
    </w:p>
    <w:p w14:paraId="291EA9F3" w14:textId="77777777" w:rsidR="001F5C54" w:rsidRPr="00213B86" w:rsidRDefault="001F5C54" w:rsidP="00127934">
      <w:pPr>
        <w:pStyle w:val="NormalWeb"/>
        <w:numPr>
          <w:ilvl w:val="1"/>
          <w:numId w:val="46"/>
        </w:numPr>
        <w:rPr>
          <w:sz w:val="22"/>
          <w:szCs w:val="22"/>
        </w:rPr>
      </w:pPr>
      <w:r w:rsidRPr="00213B86">
        <w:rPr>
          <w:sz w:val="22"/>
          <w:szCs w:val="22"/>
        </w:rPr>
        <w:t>Conversion productivity up 6% YoY; containerboard production increased by 250,000 tons sequentially</w:t>
      </w:r>
    </w:p>
    <w:p w14:paraId="186A9CD5" w14:textId="77777777" w:rsidR="001F5C54" w:rsidRPr="00213B86" w:rsidRDefault="001F5C54" w:rsidP="00127934">
      <w:pPr>
        <w:pStyle w:val="NormalWeb"/>
        <w:numPr>
          <w:ilvl w:val="1"/>
          <w:numId w:val="46"/>
        </w:numPr>
        <w:rPr>
          <w:sz w:val="22"/>
          <w:szCs w:val="22"/>
        </w:rPr>
      </w:pPr>
      <w:r w:rsidRPr="00213B86">
        <w:rPr>
          <w:sz w:val="22"/>
          <w:szCs w:val="22"/>
        </w:rPr>
        <w:t xml:space="preserve">Mills in </w:t>
      </w:r>
      <w:r w:rsidRPr="00213B86">
        <w:rPr>
          <w:rStyle w:val="Strong"/>
          <w:rFonts w:eastAsiaTheme="majorEastAsia"/>
          <w:sz w:val="22"/>
          <w:szCs w:val="22"/>
        </w:rPr>
        <w:t>Selma, Prattville, Bay Minette, and Decatur, AL</w:t>
      </w:r>
      <w:r w:rsidRPr="00213B86">
        <w:rPr>
          <w:sz w:val="22"/>
          <w:szCs w:val="22"/>
        </w:rPr>
        <w:t xml:space="preserve"> were part of high-performing Southern network, supporting margin recovery</w:t>
      </w:r>
    </w:p>
    <w:p w14:paraId="4D0F4AC7" w14:textId="77777777" w:rsidR="001F5C54" w:rsidRPr="00213B86" w:rsidRDefault="001F5C54" w:rsidP="00127934">
      <w:pPr>
        <w:pStyle w:val="NormalWeb"/>
        <w:numPr>
          <w:ilvl w:val="0"/>
          <w:numId w:val="46"/>
        </w:numPr>
        <w:rPr>
          <w:sz w:val="22"/>
          <w:szCs w:val="22"/>
        </w:rPr>
      </w:pPr>
      <w:r w:rsidRPr="00213B86">
        <w:rPr>
          <w:rStyle w:val="Strong"/>
          <w:rFonts w:eastAsiaTheme="majorEastAsia"/>
          <w:sz w:val="22"/>
          <w:szCs w:val="22"/>
        </w:rPr>
        <w:t>Global Cellulose Fibers</w:t>
      </w:r>
      <w:r w:rsidRPr="00213B86">
        <w:rPr>
          <w:sz w:val="22"/>
          <w:szCs w:val="22"/>
        </w:rPr>
        <w:t>:</w:t>
      </w:r>
    </w:p>
    <w:p w14:paraId="5EB4A55C" w14:textId="77777777" w:rsidR="001F5C54" w:rsidRPr="00213B86" w:rsidRDefault="001F5C54" w:rsidP="00127934">
      <w:pPr>
        <w:pStyle w:val="NormalWeb"/>
        <w:numPr>
          <w:ilvl w:val="1"/>
          <w:numId w:val="46"/>
        </w:numPr>
        <w:rPr>
          <w:sz w:val="22"/>
          <w:szCs w:val="22"/>
        </w:rPr>
      </w:pPr>
      <w:r w:rsidRPr="00213B86">
        <w:rPr>
          <w:sz w:val="22"/>
          <w:szCs w:val="22"/>
        </w:rPr>
        <w:t>Net sales: $550 million (−2% YoY); segment breakeven after losses in Q1</w:t>
      </w:r>
    </w:p>
    <w:p w14:paraId="533897EE" w14:textId="77777777" w:rsidR="001F5C54" w:rsidRPr="00213B86" w:rsidRDefault="001F5C54" w:rsidP="00127934">
      <w:pPr>
        <w:pStyle w:val="NormalWeb"/>
        <w:numPr>
          <w:ilvl w:val="1"/>
          <w:numId w:val="46"/>
        </w:numPr>
        <w:rPr>
          <w:sz w:val="22"/>
          <w:szCs w:val="22"/>
        </w:rPr>
      </w:pPr>
      <w:r w:rsidRPr="00213B86">
        <w:rPr>
          <w:sz w:val="22"/>
          <w:szCs w:val="22"/>
        </w:rPr>
        <w:t>Pulp shipments up modestly; pricing stable</w:t>
      </w:r>
    </w:p>
    <w:p w14:paraId="3D2979AD" w14:textId="77777777" w:rsidR="001F5C54" w:rsidRPr="00213B86" w:rsidRDefault="001F5C54" w:rsidP="00127934">
      <w:pPr>
        <w:pStyle w:val="NormalWeb"/>
        <w:numPr>
          <w:ilvl w:val="1"/>
          <w:numId w:val="46"/>
        </w:numPr>
        <w:rPr>
          <w:sz w:val="22"/>
          <w:szCs w:val="22"/>
        </w:rPr>
      </w:pPr>
      <w:r w:rsidRPr="00213B86">
        <w:rPr>
          <w:sz w:val="22"/>
          <w:szCs w:val="22"/>
        </w:rPr>
        <w:t>Focused on cost containment and mix management</w:t>
      </w:r>
    </w:p>
    <w:p w14:paraId="7B2DB11E" w14:textId="77777777" w:rsidR="001F5C54" w:rsidRPr="00213B86" w:rsidRDefault="001F5C54" w:rsidP="00127934">
      <w:pPr>
        <w:pStyle w:val="NormalWeb"/>
        <w:numPr>
          <w:ilvl w:val="1"/>
          <w:numId w:val="46"/>
        </w:numPr>
        <w:rPr>
          <w:sz w:val="22"/>
          <w:szCs w:val="22"/>
        </w:rPr>
      </w:pPr>
      <w:r w:rsidRPr="00213B86">
        <w:rPr>
          <w:sz w:val="22"/>
          <w:szCs w:val="22"/>
        </w:rPr>
        <w:t>Alabama is not directly tied to this segment</w:t>
      </w:r>
    </w:p>
    <w:p w14:paraId="22F0D2D9" w14:textId="77777777" w:rsidR="001F5C54" w:rsidRPr="00213B86" w:rsidRDefault="001F5C54" w:rsidP="00127934">
      <w:pPr>
        <w:pStyle w:val="NormalWeb"/>
        <w:numPr>
          <w:ilvl w:val="0"/>
          <w:numId w:val="46"/>
        </w:numPr>
        <w:rPr>
          <w:sz w:val="22"/>
          <w:szCs w:val="22"/>
        </w:rPr>
      </w:pPr>
      <w:r w:rsidRPr="00213B86">
        <w:rPr>
          <w:rStyle w:val="Strong"/>
          <w:rFonts w:eastAsiaTheme="majorEastAsia"/>
          <w:sz w:val="22"/>
          <w:szCs w:val="22"/>
        </w:rPr>
        <w:t>Printing Papers</w:t>
      </w:r>
      <w:r w:rsidRPr="00213B86">
        <w:rPr>
          <w:sz w:val="22"/>
          <w:szCs w:val="22"/>
        </w:rPr>
        <w:t>:</w:t>
      </w:r>
    </w:p>
    <w:p w14:paraId="0BD5878E" w14:textId="77777777" w:rsidR="001F5C54" w:rsidRPr="00213B86" w:rsidRDefault="001F5C54" w:rsidP="00127934">
      <w:pPr>
        <w:pStyle w:val="NormalWeb"/>
        <w:numPr>
          <w:ilvl w:val="1"/>
          <w:numId w:val="46"/>
        </w:numPr>
        <w:rPr>
          <w:sz w:val="22"/>
          <w:szCs w:val="22"/>
        </w:rPr>
      </w:pPr>
      <w:r w:rsidRPr="00213B86">
        <w:rPr>
          <w:sz w:val="22"/>
          <w:szCs w:val="22"/>
        </w:rPr>
        <w:t>Net sales: $580 million (+3% QoQ)</w:t>
      </w:r>
    </w:p>
    <w:p w14:paraId="19BE1952" w14:textId="77777777" w:rsidR="001F5C54" w:rsidRPr="00213B86" w:rsidRDefault="001F5C54" w:rsidP="00127934">
      <w:pPr>
        <w:pStyle w:val="NormalWeb"/>
        <w:numPr>
          <w:ilvl w:val="1"/>
          <w:numId w:val="46"/>
        </w:numPr>
        <w:rPr>
          <w:sz w:val="22"/>
          <w:szCs w:val="22"/>
        </w:rPr>
      </w:pPr>
      <w:r w:rsidRPr="00213B86">
        <w:rPr>
          <w:sz w:val="22"/>
          <w:szCs w:val="22"/>
        </w:rPr>
        <w:t>Operating profit: $65 million</w:t>
      </w:r>
    </w:p>
    <w:p w14:paraId="2CDE2440" w14:textId="77777777" w:rsidR="001F5C54" w:rsidRPr="00213B86" w:rsidRDefault="001F5C54" w:rsidP="00127934">
      <w:pPr>
        <w:pStyle w:val="NormalWeb"/>
        <w:numPr>
          <w:ilvl w:val="1"/>
          <w:numId w:val="46"/>
        </w:numPr>
        <w:rPr>
          <w:sz w:val="22"/>
          <w:szCs w:val="22"/>
        </w:rPr>
      </w:pPr>
      <w:r w:rsidRPr="00213B86">
        <w:rPr>
          <w:sz w:val="22"/>
          <w:szCs w:val="22"/>
        </w:rPr>
        <w:t>Volumes improved slightly; domestic demand stabilized in office and envelope segments</w:t>
      </w:r>
    </w:p>
    <w:p w14:paraId="61216D56" w14:textId="77777777" w:rsidR="001F5C54" w:rsidRPr="00213B86" w:rsidRDefault="001F5C54" w:rsidP="00127934">
      <w:pPr>
        <w:pStyle w:val="NormalWeb"/>
        <w:numPr>
          <w:ilvl w:val="1"/>
          <w:numId w:val="46"/>
        </w:numPr>
        <w:rPr>
          <w:sz w:val="22"/>
          <w:szCs w:val="22"/>
        </w:rPr>
      </w:pPr>
      <w:r w:rsidRPr="00213B86">
        <w:rPr>
          <w:rStyle w:val="Strong"/>
          <w:rFonts w:eastAsiaTheme="majorEastAsia"/>
          <w:sz w:val="22"/>
          <w:szCs w:val="22"/>
        </w:rPr>
        <w:t>Selma, AL paper mill</w:t>
      </w:r>
      <w:r w:rsidRPr="00213B86">
        <w:rPr>
          <w:sz w:val="22"/>
          <w:szCs w:val="22"/>
        </w:rPr>
        <w:t xml:space="preserve"> continues to produce uncoated freesheet; performance improved on reliability and energy metrics</w:t>
      </w:r>
    </w:p>
    <w:p w14:paraId="5A6C5E06" w14:textId="77777777" w:rsidR="001F5C54" w:rsidRPr="00213B86" w:rsidRDefault="001F5C54" w:rsidP="00127934">
      <w:pPr>
        <w:pStyle w:val="NormalWeb"/>
        <w:numPr>
          <w:ilvl w:val="0"/>
          <w:numId w:val="46"/>
        </w:numPr>
        <w:rPr>
          <w:sz w:val="22"/>
          <w:szCs w:val="22"/>
        </w:rPr>
      </w:pPr>
      <w:r w:rsidRPr="00213B86">
        <w:rPr>
          <w:rStyle w:val="Strong"/>
          <w:rFonts w:eastAsiaTheme="majorEastAsia"/>
          <w:sz w:val="22"/>
          <w:szCs w:val="22"/>
        </w:rPr>
        <w:t>Outlook</w:t>
      </w:r>
      <w:r w:rsidRPr="00213B86">
        <w:rPr>
          <w:sz w:val="22"/>
          <w:szCs w:val="22"/>
        </w:rPr>
        <w:t>:</w:t>
      </w:r>
    </w:p>
    <w:p w14:paraId="0A5FE799" w14:textId="77777777" w:rsidR="001F5C54" w:rsidRPr="00213B86" w:rsidRDefault="001F5C54" w:rsidP="00127934">
      <w:pPr>
        <w:pStyle w:val="NormalWeb"/>
        <w:numPr>
          <w:ilvl w:val="1"/>
          <w:numId w:val="46"/>
        </w:numPr>
        <w:rPr>
          <w:sz w:val="22"/>
          <w:szCs w:val="22"/>
        </w:rPr>
      </w:pPr>
      <w:r w:rsidRPr="00213B86">
        <w:rPr>
          <w:sz w:val="22"/>
          <w:szCs w:val="22"/>
        </w:rPr>
        <w:t>Q3 expected to benefit from full realization of earlier price increases and modest volume tailwinds</w:t>
      </w:r>
    </w:p>
    <w:p w14:paraId="1C447CC6" w14:textId="77777777" w:rsidR="001F5C54" w:rsidRPr="00213B86" w:rsidRDefault="001F5C54" w:rsidP="00127934">
      <w:pPr>
        <w:pStyle w:val="NormalWeb"/>
        <w:numPr>
          <w:ilvl w:val="1"/>
          <w:numId w:val="46"/>
        </w:numPr>
        <w:rPr>
          <w:sz w:val="22"/>
          <w:szCs w:val="22"/>
        </w:rPr>
      </w:pPr>
      <w:r w:rsidRPr="00213B86">
        <w:rPr>
          <w:sz w:val="22"/>
          <w:szCs w:val="22"/>
        </w:rPr>
        <w:t>Demand expected to rise in food, agriculture, and shipping heading into peak season</w:t>
      </w:r>
    </w:p>
    <w:p w14:paraId="0A738782" w14:textId="77777777" w:rsidR="001F5C54" w:rsidRPr="00213B86" w:rsidRDefault="001F5C54" w:rsidP="00127934">
      <w:pPr>
        <w:pStyle w:val="NormalWeb"/>
        <w:numPr>
          <w:ilvl w:val="1"/>
          <w:numId w:val="46"/>
        </w:numPr>
        <w:rPr>
          <w:sz w:val="22"/>
          <w:szCs w:val="22"/>
        </w:rPr>
      </w:pPr>
      <w:r w:rsidRPr="00213B86">
        <w:rPr>
          <w:sz w:val="22"/>
          <w:szCs w:val="22"/>
        </w:rPr>
        <w:t>Cost tailwinds in OCC (</w:t>
      </w:r>
      <w:proofErr w:type="gramStart"/>
      <w:r w:rsidRPr="00213B86">
        <w:rPr>
          <w:sz w:val="22"/>
          <w:szCs w:val="22"/>
        </w:rPr>
        <w:t>old corrugated</w:t>
      </w:r>
      <w:proofErr w:type="gramEnd"/>
      <w:r w:rsidRPr="00213B86">
        <w:rPr>
          <w:sz w:val="22"/>
          <w:szCs w:val="22"/>
        </w:rPr>
        <w:t xml:space="preserve"> container) and logistics anticipated in H2</w:t>
      </w:r>
    </w:p>
    <w:p w14:paraId="0D2235F6" w14:textId="77777777" w:rsidR="001F5C54" w:rsidRPr="00213B86" w:rsidRDefault="001F5C54" w:rsidP="00127934">
      <w:pPr>
        <w:pStyle w:val="NormalWeb"/>
        <w:numPr>
          <w:ilvl w:val="1"/>
          <w:numId w:val="46"/>
        </w:numPr>
        <w:rPr>
          <w:sz w:val="22"/>
          <w:szCs w:val="22"/>
        </w:rPr>
      </w:pPr>
      <w:r w:rsidRPr="00213B86">
        <w:rPr>
          <w:sz w:val="22"/>
          <w:szCs w:val="22"/>
        </w:rPr>
        <w:t xml:space="preserve">Free cash flow expected to exceed </w:t>
      </w:r>
      <w:r w:rsidRPr="00213B86">
        <w:rPr>
          <w:rStyle w:val="Strong"/>
          <w:rFonts w:eastAsiaTheme="majorEastAsia"/>
          <w:sz w:val="22"/>
          <w:szCs w:val="22"/>
        </w:rPr>
        <w:t>$1.3 billion</w:t>
      </w:r>
      <w:r w:rsidRPr="00213B86">
        <w:rPr>
          <w:sz w:val="22"/>
          <w:szCs w:val="22"/>
        </w:rPr>
        <w:t xml:space="preserve"> for FY2025; majority will be directed toward </w:t>
      </w:r>
      <w:proofErr w:type="spellStart"/>
      <w:r w:rsidRPr="00213B86">
        <w:rPr>
          <w:sz w:val="22"/>
          <w:szCs w:val="22"/>
        </w:rPr>
        <w:t>CapEx</w:t>
      </w:r>
      <w:proofErr w:type="spellEnd"/>
      <w:r w:rsidRPr="00213B86">
        <w:rPr>
          <w:sz w:val="22"/>
          <w:szCs w:val="22"/>
        </w:rPr>
        <w:t xml:space="preserve"> and share repurchases</w:t>
      </w:r>
    </w:p>
    <w:p w14:paraId="747CC687" w14:textId="77777777" w:rsidR="001F5C54" w:rsidRPr="00213B86" w:rsidRDefault="001F5C54" w:rsidP="00127934">
      <w:pPr>
        <w:pStyle w:val="NormalWeb"/>
        <w:numPr>
          <w:ilvl w:val="1"/>
          <w:numId w:val="46"/>
        </w:numPr>
        <w:rPr>
          <w:sz w:val="22"/>
          <w:szCs w:val="22"/>
        </w:rPr>
      </w:pPr>
      <w:r w:rsidRPr="00213B86">
        <w:rPr>
          <w:sz w:val="22"/>
          <w:szCs w:val="22"/>
        </w:rPr>
        <w:t>Alabama operations likely to continue benefiting from high mill uptime and strategic capital investment in Southern U.S. assets</w:t>
      </w:r>
    </w:p>
    <w:p w14:paraId="16C7E531" w14:textId="77777777" w:rsidR="001F5C54" w:rsidRDefault="001F5C54" w:rsidP="3CA273EB">
      <w:pPr>
        <w:rPr>
          <w:rFonts w:ascii="Times New Roman" w:eastAsia="Times New Roman" w:hAnsi="Times New Roman" w:cs="Times New Roman"/>
          <w:color w:val="000000" w:themeColor="text1"/>
        </w:rPr>
      </w:pPr>
    </w:p>
    <w:p w14:paraId="35F62206" w14:textId="77777777" w:rsidR="001F5C54" w:rsidRPr="00BC0D8E" w:rsidRDefault="001F5C54" w:rsidP="3CA273EB">
      <w:pPr>
        <w:rPr>
          <w:rFonts w:ascii="Calibri" w:eastAsia="Calibri" w:hAnsi="Calibri" w:cs="Calibri"/>
        </w:rPr>
      </w:pPr>
    </w:p>
    <w:p w14:paraId="4ADC5556" w14:textId="0B5B7300" w:rsidR="00E263BE" w:rsidRPr="00BC0D8E" w:rsidRDefault="00E263BE" w:rsidP="2535092B">
      <w:pPr>
        <w:rPr>
          <w:rFonts w:ascii="Times New Roman" w:hAnsi="Times New Roman" w:cs="Times New Roman"/>
          <w:b/>
          <w:bCs/>
        </w:rPr>
      </w:pPr>
      <w:r>
        <w:br/>
      </w:r>
    </w:p>
    <w:p w14:paraId="779A7A0D" w14:textId="77777777" w:rsidR="008B733A" w:rsidRPr="00BC0D8E" w:rsidRDefault="34354836" w:rsidP="008B733A">
      <w:pPr>
        <w:pStyle w:val="Heading2"/>
        <w:rPr>
          <w:rFonts w:cs="Times New Roman"/>
        </w:rPr>
      </w:pPr>
      <w:bookmarkStart w:id="59" w:name="_Toc147824673"/>
      <w:bookmarkStart w:id="60" w:name="_Toc212796755"/>
      <w:r w:rsidRPr="2535092B">
        <w:rPr>
          <w:rFonts w:cs="Times New Roman"/>
        </w:rPr>
        <w:t>Louisiana-Pacific Corporation (</w:t>
      </w:r>
      <w:proofErr w:type="gramStart"/>
      <w:r w:rsidRPr="2535092B">
        <w:rPr>
          <w:rFonts w:cs="Times New Roman"/>
        </w:rPr>
        <w:t>NYSE:LPX</w:t>
      </w:r>
      <w:proofErr w:type="gramEnd"/>
      <w:r w:rsidRPr="2535092B">
        <w:rPr>
          <w:rFonts w:cs="Times New Roman"/>
        </w:rPr>
        <w:t>)</w:t>
      </w:r>
      <w:bookmarkEnd w:id="59"/>
      <w:bookmarkEnd w:id="60"/>
      <w:r w:rsidRPr="2535092B">
        <w:rPr>
          <w:rFonts w:cs="Times New Roman"/>
        </w:rPr>
        <w:t xml:space="preserve"> </w:t>
      </w:r>
    </w:p>
    <w:p w14:paraId="7C493629" w14:textId="421F3B0D" w:rsidR="008B733A" w:rsidRPr="00BC0D8E" w:rsidRDefault="02FFA956" w:rsidP="2EEB26EF">
      <w:pPr>
        <w:pStyle w:val="Heading3"/>
        <w:rPr>
          <w:rFonts w:cs="Times New Roman"/>
        </w:rPr>
      </w:pPr>
      <w:bookmarkStart w:id="61" w:name="_Toc147824674"/>
      <w:bookmarkStart w:id="62" w:name="_Toc212796756"/>
      <w:r w:rsidRPr="2EEB26EF">
        <w:rPr>
          <w:rFonts w:cs="Times New Roman"/>
        </w:rPr>
        <w:t xml:space="preserve">Outlook: </w:t>
      </w:r>
      <w:bookmarkEnd w:id="61"/>
      <w:r w:rsidR="00CE1784" w:rsidRPr="00AF2939">
        <w:rPr>
          <w:rFonts w:cs="Times New Roman"/>
          <w:color w:val="00B050"/>
        </w:rPr>
        <w:t>Positive</w:t>
      </w:r>
      <w:bookmarkEnd w:id="62"/>
    </w:p>
    <w:p w14:paraId="1FAFC366" w14:textId="4C62E58A" w:rsidR="008B733A" w:rsidRPr="00BC0D8E" w:rsidRDefault="02FFA956" w:rsidP="2535092B">
      <w:pPr>
        <w:pStyle w:val="Heading3"/>
        <w:rPr>
          <w:rFonts w:eastAsia="Times New Roman" w:cs="Times New Roman"/>
          <w:color w:val="00B050"/>
        </w:rPr>
      </w:pPr>
      <w:bookmarkStart w:id="63" w:name="_Toc147824675"/>
      <w:bookmarkStart w:id="64" w:name="_Toc212796757"/>
      <w:r w:rsidRPr="76843851">
        <w:rPr>
          <w:rFonts w:cs="Times New Roman"/>
        </w:rPr>
        <w:t xml:space="preserve">AL Outlook: </w:t>
      </w:r>
      <w:bookmarkEnd w:id="63"/>
      <w:r w:rsidR="00CE1784" w:rsidRPr="00AF2939">
        <w:rPr>
          <w:rFonts w:cs="Times New Roman"/>
          <w:color w:val="00B050"/>
        </w:rPr>
        <w:t>Positive</w:t>
      </w:r>
      <w:bookmarkEnd w:id="64"/>
    </w:p>
    <w:p w14:paraId="0D321799" w14:textId="1F202D7A" w:rsidR="008B733A" w:rsidRPr="00BC0D8E" w:rsidRDefault="02FFA956" w:rsidP="2EEB26EF">
      <w:pPr>
        <w:rPr>
          <w:rFonts w:ascii="Times New Roman" w:eastAsia="Calibri" w:hAnsi="Times New Roman" w:cs="Times New Roman"/>
        </w:rPr>
      </w:pPr>
      <w:r w:rsidRPr="0227D82F">
        <w:rPr>
          <w:rFonts w:ascii="Times New Roman" w:hAnsi="Times New Roman" w:cs="Times New Roman"/>
          <w:b/>
          <w:bCs/>
        </w:rPr>
        <w:t>Recommended Action:</w:t>
      </w:r>
      <w:r w:rsidRPr="0227D82F">
        <w:rPr>
          <w:rFonts w:ascii="Times New Roman" w:hAnsi="Times New Roman" w:cs="Times New Roman"/>
        </w:rPr>
        <w:t xml:space="preserve"> </w:t>
      </w:r>
      <w:r w:rsidR="12E47255" w:rsidRPr="0227D82F">
        <w:rPr>
          <w:rFonts w:ascii="Times New Roman" w:eastAsia="Calibri" w:hAnsi="Times New Roman" w:cs="Times New Roman"/>
        </w:rPr>
        <w:t>Meet with leadership regarding the company’s plans for a</w:t>
      </w:r>
      <w:r w:rsidR="12E47255" w:rsidRPr="0227D82F">
        <w:rPr>
          <w:rFonts w:ascii="Times New Roman" w:eastAsia="Calibri" w:hAnsi="Times New Roman" w:cs="Times New Roman"/>
          <w:b/>
          <w:bCs/>
        </w:rPr>
        <w:t xml:space="preserve"> brownfield expansion </w:t>
      </w:r>
      <w:r w:rsidR="12E47255" w:rsidRPr="0227D82F">
        <w:rPr>
          <w:rFonts w:ascii="Times New Roman" w:eastAsia="Calibri" w:hAnsi="Times New Roman" w:cs="Times New Roman"/>
        </w:rPr>
        <w:t>at existing Southern OSB facilities, including potential debottlenecking at Alabama sites.</w:t>
      </w:r>
    </w:p>
    <w:p w14:paraId="662142E0" w14:textId="39826A4F" w:rsidR="008B733A" w:rsidRDefault="2A1B5043" w:rsidP="3CA273EB">
      <w:pPr>
        <w:rPr>
          <w:rFonts w:ascii="Times New Roman" w:eastAsia="Times New Roman" w:hAnsi="Times New Roman" w:cs="Times New Roman"/>
          <w:color w:val="000000" w:themeColor="text1"/>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Hanceville: Oriented Strand Board (OSB) Manufacturing; Thomasville: Oriented Strand Board (OSB) Manufacturin</w:t>
      </w:r>
      <w:r w:rsidR="79366E4C" w:rsidRPr="2535092B">
        <w:rPr>
          <w:rFonts w:ascii="Times New Roman" w:eastAsia="Times New Roman" w:hAnsi="Times New Roman" w:cs="Times New Roman"/>
          <w:color w:val="000000" w:themeColor="text1"/>
        </w:rPr>
        <w:t>g.</w:t>
      </w:r>
    </w:p>
    <w:p w14:paraId="4EB4C7DB" w14:textId="77777777" w:rsidR="007D2D0F" w:rsidRPr="007D2D0F" w:rsidRDefault="007D2D0F" w:rsidP="007D2D0F">
      <w:pPr>
        <w:pStyle w:val="NormalWeb"/>
        <w:rPr>
          <w:sz w:val="22"/>
          <w:szCs w:val="22"/>
        </w:rPr>
      </w:pPr>
      <w:r w:rsidRPr="007D2D0F">
        <w:rPr>
          <w:rStyle w:val="Strong"/>
          <w:rFonts w:eastAsiaTheme="majorEastAsia"/>
          <w:sz w:val="22"/>
          <w:szCs w:val="22"/>
        </w:rPr>
        <w:t>Key Takeaways</w:t>
      </w:r>
    </w:p>
    <w:p w14:paraId="0863ED1C" w14:textId="77777777" w:rsidR="007D2D0F" w:rsidRPr="007D2D0F" w:rsidRDefault="007D2D0F" w:rsidP="00127934">
      <w:pPr>
        <w:pStyle w:val="NormalWeb"/>
        <w:numPr>
          <w:ilvl w:val="0"/>
          <w:numId w:val="47"/>
        </w:numPr>
        <w:rPr>
          <w:sz w:val="22"/>
          <w:szCs w:val="22"/>
        </w:rPr>
      </w:pPr>
      <w:r w:rsidRPr="007D2D0F">
        <w:rPr>
          <w:sz w:val="22"/>
          <w:szCs w:val="22"/>
        </w:rPr>
        <w:t xml:space="preserve">LP reported a solid Q2 performance, supported by higher OSB prices, growing demand for </w:t>
      </w:r>
      <w:proofErr w:type="spellStart"/>
      <w:r w:rsidRPr="007D2D0F">
        <w:rPr>
          <w:sz w:val="22"/>
          <w:szCs w:val="22"/>
        </w:rPr>
        <w:t>SmartSide</w:t>
      </w:r>
      <w:proofErr w:type="spellEnd"/>
      <w:r w:rsidRPr="007D2D0F">
        <w:rPr>
          <w:sz w:val="22"/>
          <w:szCs w:val="22"/>
        </w:rPr>
        <w:t xml:space="preserve"> products, and improved mill utilization across North America.</w:t>
      </w:r>
    </w:p>
    <w:p w14:paraId="7C8C08C2" w14:textId="77777777" w:rsidR="007D2D0F" w:rsidRPr="007D2D0F" w:rsidRDefault="007D2D0F" w:rsidP="00127934">
      <w:pPr>
        <w:pStyle w:val="NormalWeb"/>
        <w:numPr>
          <w:ilvl w:val="0"/>
          <w:numId w:val="47"/>
        </w:numPr>
        <w:rPr>
          <w:sz w:val="22"/>
          <w:szCs w:val="22"/>
        </w:rPr>
      </w:pPr>
      <w:r w:rsidRPr="007D2D0F">
        <w:rPr>
          <w:sz w:val="22"/>
          <w:szCs w:val="22"/>
        </w:rPr>
        <w:t>Net sales rose significantly YoY, driven by strength in new residential construction and continued repair &amp; remodel (R&amp;R) demand.</w:t>
      </w:r>
    </w:p>
    <w:p w14:paraId="23390685" w14:textId="77777777" w:rsidR="007D2D0F" w:rsidRPr="007D2D0F" w:rsidRDefault="007D2D0F" w:rsidP="00127934">
      <w:pPr>
        <w:pStyle w:val="NormalWeb"/>
        <w:numPr>
          <w:ilvl w:val="0"/>
          <w:numId w:val="47"/>
        </w:numPr>
        <w:rPr>
          <w:sz w:val="22"/>
          <w:szCs w:val="22"/>
        </w:rPr>
      </w:pPr>
      <w:r w:rsidRPr="007D2D0F">
        <w:rPr>
          <w:sz w:val="22"/>
          <w:szCs w:val="22"/>
        </w:rPr>
        <w:t>Hanceville and Thomasville, Alabama OSB facilities were part of LP’s core operational footprint in the U.S. South, contributing to increased shipments and plant efficiency.</w:t>
      </w:r>
    </w:p>
    <w:p w14:paraId="5DBBE286" w14:textId="77777777" w:rsidR="007D2D0F" w:rsidRPr="007D2D0F" w:rsidRDefault="007D2D0F" w:rsidP="00127934">
      <w:pPr>
        <w:pStyle w:val="NormalWeb"/>
        <w:numPr>
          <w:ilvl w:val="0"/>
          <w:numId w:val="47"/>
        </w:numPr>
        <w:rPr>
          <w:sz w:val="22"/>
          <w:szCs w:val="22"/>
        </w:rPr>
      </w:pPr>
      <w:r w:rsidRPr="007D2D0F">
        <w:rPr>
          <w:sz w:val="22"/>
          <w:szCs w:val="22"/>
        </w:rPr>
        <w:t>Management highlighted cost control, price realization, and disciplined capital spending as key levers driving profitability in a mixed macro environment.</w:t>
      </w:r>
    </w:p>
    <w:p w14:paraId="0BEE1017" w14:textId="77777777" w:rsidR="007D2D0F" w:rsidRPr="007D2D0F" w:rsidRDefault="007D2D0F" w:rsidP="00127934">
      <w:pPr>
        <w:pStyle w:val="NormalWeb"/>
        <w:numPr>
          <w:ilvl w:val="0"/>
          <w:numId w:val="47"/>
        </w:numPr>
        <w:rPr>
          <w:sz w:val="22"/>
          <w:szCs w:val="22"/>
        </w:rPr>
      </w:pPr>
      <w:r w:rsidRPr="007D2D0F">
        <w:rPr>
          <w:sz w:val="22"/>
          <w:szCs w:val="22"/>
        </w:rPr>
        <w:t xml:space="preserve">LP continues to prioritize strategic growth in its </w:t>
      </w:r>
      <w:proofErr w:type="spellStart"/>
      <w:r w:rsidRPr="007D2D0F">
        <w:rPr>
          <w:sz w:val="22"/>
          <w:szCs w:val="22"/>
        </w:rPr>
        <w:t>SmartSide</w:t>
      </w:r>
      <w:proofErr w:type="spellEnd"/>
      <w:r w:rsidRPr="007D2D0F">
        <w:rPr>
          <w:sz w:val="22"/>
          <w:szCs w:val="22"/>
        </w:rPr>
        <w:t xml:space="preserve"> siding segment, which now accounts for over 50% of total revenue.</w:t>
      </w:r>
    </w:p>
    <w:p w14:paraId="46EBFAED" w14:textId="77777777" w:rsidR="007D2D0F" w:rsidRPr="007D2D0F" w:rsidRDefault="007D2D0F" w:rsidP="00127934">
      <w:pPr>
        <w:pStyle w:val="NormalWeb"/>
        <w:numPr>
          <w:ilvl w:val="0"/>
          <w:numId w:val="47"/>
        </w:numPr>
        <w:rPr>
          <w:sz w:val="22"/>
          <w:szCs w:val="22"/>
        </w:rPr>
      </w:pPr>
      <w:r w:rsidRPr="007D2D0F">
        <w:rPr>
          <w:sz w:val="22"/>
          <w:szCs w:val="22"/>
        </w:rPr>
        <w:t xml:space="preserve">Full-year guidance was maintained, with expectations </w:t>
      </w:r>
      <w:proofErr w:type="gramStart"/>
      <w:r w:rsidRPr="007D2D0F">
        <w:rPr>
          <w:sz w:val="22"/>
          <w:szCs w:val="22"/>
        </w:rPr>
        <w:t>for</w:t>
      </w:r>
      <w:proofErr w:type="gramEnd"/>
      <w:r w:rsidRPr="007D2D0F">
        <w:rPr>
          <w:sz w:val="22"/>
          <w:szCs w:val="22"/>
        </w:rPr>
        <w:t xml:space="preserve"> steady demand and strong seasonal performance in Q3.</w:t>
      </w:r>
    </w:p>
    <w:p w14:paraId="66063541" w14:textId="77777777" w:rsidR="007D2D0F" w:rsidRPr="007D2D0F" w:rsidRDefault="007D2D0F" w:rsidP="007D2D0F">
      <w:pPr>
        <w:pStyle w:val="NormalWeb"/>
        <w:rPr>
          <w:sz w:val="22"/>
          <w:szCs w:val="22"/>
        </w:rPr>
      </w:pPr>
      <w:r w:rsidRPr="007D2D0F">
        <w:rPr>
          <w:rStyle w:val="Strong"/>
          <w:rFonts w:eastAsiaTheme="majorEastAsia"/>
          <w:sz w:val="22"/>
          <w:szCs w:val="22"/>
        </w:rPr>
        <w:t>Financial Highlights</w:t>
      </w:r>
    </w:p>
    <w:p w14:paraId="1735F2AE" w14:textId="77777777" w:rsidR="007D2D0F" w:rsidRPr="007D2D0F" w:rsidRDefault="007D2D0F" w:rsidP="00127934">
      <w:pPr>
        <w:pStyle w:val="NormalWeb"/>
        <w:numPr>
          <w:ilvl w:val="0"/>
          <w:numId w:val="48"/>
        </w:numPr>
        <w:rPr>
          <w:sz w:val="22"/>
          <w:szCs w:val="22"/>
        </w:rPr>
      </w:pPr>
      <w:r w:rsidRPr="007D2D0F">
        <w:rPr>
          <w:sz w:val="22"/>
          <w:szCs w:val="22"/>
        </w:rPr>
        <w:t xml:space="preserve">Revenue: </w:t>
      </w:r>
      <w:r w:rsidRPr="007D2D0F">
        <w:rPr>
          <w:rStyle w:val="Strong"/>
          <w:rFonts w:eastAsiaTheme="majorEastAsia"/>
          <w:sz w:val="22"/>
          <w:szCs w:val="22"/>
        </w:rPr>
        <w:t>$869 million</w:t>
      </w:r>
      <w:r w:rsidRPr="007D2D0F">
        <w:rPr>
          <w:sz w:val="22"/>
          <w:szCs w:val="22"/>
        </w:rPr>
        <w:t xml:space="preserve">, up </w:t>
      </w:r>
      <w:r w:rsidRPr="007D2D0F">
        <w:rPr>
          <w:rStyle w:val="Strong"/>
          <w:rFonts w:eastAsiaTheme="majorEastAsia"/>
          <w:sz w:val="22"/>
          <w:szCs w:val="22"/>
        </w:rPr>
        <w:t>16% YoY</w:t>
      </w:r>
      <w:r w:rsidRPr="007D2D0F">
        <w:rPr>
          <w:sz w:val="22"/>
          <w:szCs w:val="22"/>
        </w:rPr>
        <w:t xml:space="preserve">, driven by higher OSB pricing and </w:t>
      </w:r>
      <w:proofErr w:type="spellStart"/>
      <w:r w:rsidRPr="007D2D0F">
        <w:rPr>
          <w:sz w:val="22"/>
          <w:szCs w:val="22"/>
        </w:rPr>
        <w:t>SmartSide</w:t>
      </w:r>
      <w:proofErr w:type="spellEnd"/>
      <w:r w:rsidRPr="007D2D0F">
        <w:rPr>
          <w:sz w:val="22"/>
          <w:szCs w:val="22"/>
        </w:rPr>
        <w:t xml:space="preserve"> volume growth.</w:t>
      </w:r>
    </w:p>
    <w:p w14:paraId="0BABBE8D" w14:textId="77777777" w:rsidR="007D2D0F" w:rsidRPr="007D2D0F" w:rsidRDefault="007D2D0F" w:rsidP="00127934">
      <w:pPr>
        <w:pStyle w:val="NormalWeb"/>
        <w:numPr>
          <w:ilvl w:val="0"/>
          <w:numId w:val="48"/>
        </w:numPr>
        <w:rPr>
          <w:sz w:val="22"/>
          <w:szCs w:val="22"/>
        </w:rPr>
      </w:pPr>
      <w:r w:rsidRPr="007D2D0F">
        <w:rPr>
          <w:sz w:val="22"/>
          <w:szCs w:val="22"/>
        </w:rPr>
        <w:t xml:space="preserve">Net income: </w:t>
      </w:r>
      <w:r w:rsidRPr="007D2D0F">
        <w:rPr>
          <w:rStyle w:val="Strong"/>
          <w:rFonts w:eastAsiaTheme="majorEastAsia"/>
          <w:sz w:val="22"/>
          <w:szCs w:val="22"/>
        </w:rPr>
        <w:t>$108 million</w:t>
      </w:r>
      <w:r w:rsidRPr="007D2D0F">
        <w:rPr>
          <w:sz w:val="22"/>
          <w:szCs w:val="22"/>
        </w:rPr>
        <w:t xml:space="preserve">, or </w:t>
      </w:r>
      <w:r w:rsidRPr="007D2D0F">
        <w:rPr>
          <w:rStyle w:val="Strong"/>
          <w:rFonts w:eastAsiaTheme="majorEastAsia"/>
          <w:sz w:val="22"/>
          <w:szCs w:val="22"/>
        </w:rPr>
        <w:t>$1.27 per diluted share</w:t>
      </w:r>
      <w:r w:rsidRPr="007D2D0F">
        <w:rPr>
          <w:sz w:val="22"/>
          <w:szCs w:val="22"/>
        </w:rPr>
        <w:t>, compared to $78 million and $0.92 in Q2 2024.</w:t>
      </w:r>
    </w:p>
    <w:p w14:paraId="56B9E9AF" w14:textId="77777777" w:rsidR="007D2D0F" w:rsidRPr="007D2D0F" w:rsidRDefault="007D2D0F" w:rsidP="00127934">
      <w:pPr>
        <w:pStyle w:val="NormalWeb"/>
        <w:numPr>
          <w:ilvl w:val="0"/>
          <w:numId w:val="48"/>
        </w:numPr>
        <w:rPr>
          <w:sz w:val="22"/>
          <w:szCs w:val="22"/>
        </w:rPr>
      </w:pPr>
      <w:r w:rsidRPr="007D2D0F">
        <w:rPr>
          <w:sz w:val="22"/>
          <w:szCs w:val="22"/>
        </w:rPr>
        <w:t xml:space="preserve">Adjusted EBITDA: </w:t>
      </w:r>
      <w:r w:rsidRPr="007D2D0F">
        <w:rPr>
          <w:rStyle w:val="Strong"/>
          <w:rFonts w:eastAsiaTheme="majorEastAsia"/>
          <w:sz w:val="22"/>
          <w:szCs w:val="22"/>
        </w:rPr>
        <w:t>$206 million</w:t>
      </w:r>
      <w:r w:rsidRPr="007D2D0F">
        <w:rPr>
          <w:sz w:val="22"/>
          <w:szCs w:val="22"/>
        </w:rPr>
        <w:t xml:space="preserve">, a </w:t>
      </w:r>
      <w:r w:rsidRPr="007D2D0F">
        <w:rPr>
          <w:rStyle w:val="Strong"/>
          <w:rFonts w:eastAsiaTheme="majorEastAsia"/>
          <w:sz w:val="22"/>
          <w:szCs w:val="22"/>
        </w:rPr>
        <w:t>29% YoY increase</w:t>
      </w:r>
      <w:r w:rsidRPr="007D2D0F">
        <w:rPr>
          <w:sz w:val="22"/>
          <w:szCs w:val="22"/>
        </w:rPr>
        <w:t>, supported by operating leverage in OSB and Siding segments.</w:t>
      </w:r>
    </w:p>
    <w:p w14:paraId="3546BCD6" w14:textId="77777777" w:rsidR="007D2D0F" w:rsidRPr="007D2D0F" w:rsidRDefault="007D2D0F" w:rsidP="00127934">
      <w:pPr>
        <w:pStyle w:val="NormalWeb"/>
        <w:numPr>
          <w:ilvl w:val="0"/>
          <w:numId w:val="48"/>
        </w:numPr>
        <w:rPr>
          <w:sz w:val="22"/>
          <w:szCs w:val="22"/>
        </w:rPr>
      </w:pPr>
      <w:r w:rsidRPr="007D2D0F">
        <w:rPr>
          <w:sz w:val="22"/>
          <w:szCs w:val="22"/>
        </w:rPr>
        <w:t xml:space="preserve">Operating cash flow: </w:t>
      </w:r>
      <w:r w:rsidRPr="007D2D0F">
        <w:rPr>
          <w:rStyle w:val="Strong"/>
          <w:rFonts w:eastAsiaTheme="majorEastAsia"/>
          <w:sz w:val="22"/>
          <w:szCs w:val="22"/>
        </w:rPr>
        <w:t>$195 million</w:t>
      </w:r>
      <w:r w:rsidRPr="007D2D0F">
        <w:rPr>
          <w:sz w:val="22"/>
          <w:szCs w:val="22"/>
        </w:rPr>
        <w:t>, up from $152 million in the prior year.</w:t>
      </w:r>
    </w:p>
    <w:p w14:paraId="75C7248C" w14:textId="77777777" w:rsidR="007D2D0F" w:rsidRPr="007D2D0F" w:rsidRDefault="007D2D0F" w:rsidP="00127934">
      <w:pPr>
        <w:pStyle w:val="NormalWeb"/>
        <w:numPr>
          <w:ilvl w:val="0"/>
          <w:numId w:val="48"/>
        </w:numPr>
        <w:rPr>
          <w:sz w:val="22"/>
          <w:szCs w:val="22"/>
        </w:rPr>
      </w:pPr>
      <w:r w:rsidRPr="007D2D0F">
        <w:rPr>
          <w:sz w:val="22"/>
          <w:szCs w:val="22"/>
        </w:rPr>
        <w:t xml:space="preserve">Cash balance: </w:t>
      </w:r>
      <w:r w:rsidRPr="007D2D0F">
        <w:rPr>
          <w:rStyle w:val="Strong"/>
          <w:rFonts w:eastAsiaTheme="majorEastAsia"/>
          <w:sz w:val="22"/>
          <w:szCs w:val="22"/>
        </w:rPr>
        <w:t>$406 million</w:t>
      </w:r>
      <w:r w:rsidRPr="007D2D0F">
        <w:rPr>
          <w:sz w:val="22"/>
          <w:szCs w:val="22"/>
        </w:rPr>
        <w:t>; no borrowings outstanding under credit facility.</w:t>
      </w:r>
    </w:p>
    <w:p w14:paraId="73D201A6" w14:textId="77777777" w:rsidR="007D2D0F" w:rsidRPr="007D2D0F" w:rsidRDefault="007D2D0F" w:rsidP="00127934">
      <w:pPr>
        <w:pStyle w:val="NormalWeb"/>
        <w:numPr>
          <w:ilvl w:val="0"/>
          <w:numId w:val="48"/>
        </w:numPr>
        <w:rPr>
          <w:sz w:val="22"/>
          <w:szCs w:val="22"/>
        </w:rPr>
      </w:pPr>
      <w:r w:rsidRPr="007D2D0F">
        <w:rPr>
          <w:sz w:val="22"/>
          <w:szCs w:val="22"/>
        </w:rPr>
        <w:t xml:space="preserve">Full-year </w:t>
      </w:r>
      <w:proofErr w:type="spellStart"/>
      <w:r w:rsidRPr="007D2D0F">
        <w:rPr>
          <w:sz w:val="22"/>
          <w:szCs w:val="22"/>
        </w:rPr>
        <w:t>CapEx</w:t>
      </w:r>
      <w:proofErr w:type="spellEnd"/>
      <w:r w:rsidRPr="007D2D0F">
        <w:rPr>
          <w:sz w:val="22"/>
          <w:szCs w:val="22"/>
        </w:rPr>
        <w:t xml:space="preserve"> guidance: </w:t>
      </w:r>
      <w:r w:rsidRPr="007D2D0F">
        <w:rPr>
          <w:rStyle w:val="Strong"/>
          <w:rFonts w:eastAsiaTheme="majorEastAsia"/>
          <w:sz w:val="22"/>
          <w:szCs w:val="22"/>
        </w:rPr>
        <w:t>$200–220 million</w:t>
      </w:r>
      <w:r w:rsidRPr="007D2D0F">
        <w:rPr>
          <w:sz w:val="22"/>
          <w:szCs w:val="22"/>
        </w:rPr>
        <w:t>, consistent with prior outlook.</w:t>
      </w:r>
    </w:p>
    <w:p w14:paraId="5A9621A2" w14:textId="77777777" w:rsidR="007D2D0F" w:rsidRPr="007D2D0F" w:rsidRDefault="007D2D0F" w:rsidP="007D2D0F">
      <w:pPr>
        <w:pStyle w:val="NormalWeb"/>
        <w:rPr>
          <w:sz w:val="22"/>
          <w:szCs w:val="22"/>
        </w:rPr>
      </w:pPr>
      <w:r w:rsidRPr="007D2D0F">
        <w:rPr>
          <w:rStyle w:val="Strong"/>
          <w:rFonts w:eastAsiaTheme="majorEastAsia"/>
          <w:sz w:val="22"/>
          <w:szCs w:val="22"/>
        </w:rPr>
        <w:t>Operational Highlights</w:t>
      </w:r>
    </w:p>
    <w:p w14:paraId="4C952615" w14:textId="77777777" w:rsidR="007D2D0F" w:rsidRPr="007D2D0F" w:rsidRDefault="007D2D0F" w:rsidP="00127934">
      <w:pPr>
        <w:pStyle w:val="NormalWeb"/>
        <w:numPr>
          <w:ilvl w:val="0"/>
          <w:numId w:val="49"/>
        </w:numPr>
        <w:rPr>
          <w:sz w:val="22"/>
          <w:szCs w:val="22"/>
        </w:rPr>
      </w:pPr>
      <w:r w:rsidRPr="007D2D0F">
        <w:rPr>
          <w:sz w:val="22"/>
          <w:szCs w:val="22"/>
        </w:rPr>
        <w:t xml:space="preserve">Total OSB shipments increased </w:t>
      </w:r>
      <w:r w:rsidRPr="007D2D0F">
        <w:rPr>
          <w:rStyle w:val="Strong"/>
          <w:rFonts w:eastAsiaTheme="majorEastAsia"/>
          <w:sz w:val="22"/>
          <w:szCs w:val="22"/>
        </w:rPr>
        <w:t>6% YoY</w:t>
      </w:r>
      <w:r w:rsidRPr="007D2D0F">
        <w:rPr>
          <w:sz w:val="22"/>
          <w:szCs w:val="22"/>
        </w:rPr>
        <w:t xml:space="preserve">, with Hanceville and Thomasville, AL mills running at </w:t>
      </w:r>
      <w:r w:rsidRPr="007D2D0F">
        <w:rPr>
          <w:rStyle w:val="Strong"/>
          <w:rFonts w:eastAsiaTheme="majorEastAsia"/>
          <w:sz w:val="22"/>
          <w:szCs w:val="22"/>
        </w:rPr>
        <w:t>90–95% capacity utilization</w:t>
      </w:r>
      <w:r w:rsidRPr="007D2D0F">
        <w:rPr>
          <w:sz w:val="22"/>
          <w:szCs w:val="22"/>
        </w:rPr>
        <w:t>.</w:t>
      </w:r>
    </w:p>
    <w:p w14:paraId="10E2D27E" w14:textId="77777777" w:rsidR="007D2D0F" w:rsidRPr="007D2D0F" w:rsidRDefault="007D2D0F" w:rsidP="00127934">
      <w:pPr>
        <w:pStyle w:val="NormalWeb"/>
        <w:numPr>
          <w:ilvl w:val="0"/>
          <w:numId w:val="49"/>
        </w:numPr>
        <w:rPr>
          <w:sz w:val="22"/>
          <w:szCs w:val="22"/>
        </w:rPr>
      </w:pPr>
      <w:proofErr w:type="spellStart"/>
      <w:r w:rsidRPr="007D2D0F">
        <w:rPr>
          <w:sz w:val="22"/>
          <w:szCs w:val="22"/>
        </w:rPr>
        <w:lastRenderedPageBreak/>
        <w:t>SmartSide</w:t>
      </w:r>
      <w:proofErr w:type="spellEnd"/>
      <w:r w:rsidRPr="007D2D0F">
        <w:rPr>
          <w:sz w:val="22"/>
          <w:szCs w:val="22"/>
        </w:rPr>
        <w:t xml:space="preserve"> strand siding volumes grew </w:t>
      </w:r>
      <w:r w:rsidRPr="007D2D0F">
        <w:rPr>
          <w:rStyle w:val="Strong"/>
          <w:rFonts w:eastAsiaTheme="majorEastAsia"/>
          <w:sz w:val="22"/>
          <w:szCs w:val="22"/>
        </w:rPr>
        <w:t>9% YoY</w:t>
      </w:r>
      <w:r w:rsidRPr="007D2D0F">
        <w:rPr>
          <w:sz w:val="22"/>
          <w:szCs w:val="22"/>
        </w:rPr>
        <w:t>, benefiting from new dealer wins and expanded pro-channel distribution.</w:t>
      </w:r>
    </w:p>
    <w:p w14:paraId="68B1DD99" w14:textId="77777777" w:rsidR="007D2D0F" w:rsidRPr="007D2D0F" w:rsidRDefault="007D2D0F" w:rsidP="00127934">
      <w:pPr>
        <w:pStyle w:val="NormalWeb"/>
        <w:numPr>
          <w:ilvl w:val="0"/>
          <w:numId w:val="49"/>
        </w:numPr>
        <w:rPr>
          <w:sz w:val="22"/>
          <w:szCs w:val="22"/>
        </w:rPr>
      </w:pPr>
      <w:r w:rsidRPr="007D2D0F">
        <w:rPr>
          <w:sz w:val="22"/>
          <w:szCs w:val="22"/>
        </w:rPr>
        <w:t>OSB pricing improved by 18% sequentially and 12% YoY, reflecting tighter supply in Southern U.S. and Canada.</w:t>
      </w:r>
    </w:p>
    <w:p w14:paraId="0A8F2EC5" w14:textId="77777777" w:rsidR="007D2D0F" w:rsidRPr="007D2D0F" w:rsidRDefault="007D2D0F" w:rsidP="00127934">
      <w:pPr>
        <w:pStyle w:val="NormalWeb"/>
        <w:numPr>
          <w:ilvl w:val="0"/>
          <w:numId w:val="49"/>
        </w:numPr>
        <w:rPr>
          <w:sz w:val="22"/>
          <w:szCs w:val="22"/>
        </w:rPr>
      </w:pPr>
      <w:r w:rsidRPr="007D2D0F">
        <w:rPr>
          <w:sz w:val="22"/>
          <w:szCs w:val="22"/>
        </w:rPr>
        <w:t>LP’s Southern OSB mills, including Alabama, saw improvements in uptime, raw material yields, and maintenance efficiency.</w:t>
      </w:r>
    </w:p>
    <w:p w14:paraId="3201FC88" w14:textId="77777777" w:rsidR="007D2D0F" w:rsidRPr="007D2D0F" w:rsidRDefault="007D2D0F" w:rsidP="00127934">
      <w:pPr>
        <w:pStyle w:val="NormalWeb"/>
        <w:numPr>
          <w:ilvl w:val="0"/>
          <w:numId w:val="49"/>
        </w:numPr>
        <w:rPr>
          <w:sz w:val="22"/>
          <w:szCs w:val="22"/>
        </w:rPr>
      </w:pPr>
      <w:r w:rsidRPr="007D2D0F">
        <w:rPr>
          <w:sz w:val="22"/>
          <w:szCs w:val="22"/>
        </w:rPr>
        <w:t>Lean operations and reliability initiatives reduced unplanned downtime by 7% company-wide in Q2.</w:t>
      </w:r>
    </w:p>
    <w:p w14:paraId="1141B364" w14:textId="77777777" w:rsidR="007D2D0F" w:rsidRPr="007D2D0F" w:rsidRDefault="007D2D0F" w:rsidP="00127934">
      <w:pPr>
        <w:pStyle w:val="NormalWeb"/>
        <w:numPr>
          <w:ilvl w:val="0"/>
          <w:numId w:val="49"/>
        </w:numPr>
        <w:rPr>
          <w:sz w:val="22"/>
          <w:szCs w:val="22"/>
        </w:rPr>
      </w:pPr>
      <w:r w:rsidRPr="007D2D0F">
        <w:rPr>
          <w:sz w:val="22"/>
          <w:szCs w:val="22"/>
        </w:rPr>
        <w:t>LP noted that R&amp;R demand remained strong despite broader macro weakness, especially in the South and Midwest.</w:t>
      </w:r>
    </w:p>
    <w:p w14:paraId="208BCFD5" w14:textId="77777777" w:rsidR="007D2D0F" w:rsidRPr="007D2D0F" w:rsidRDefault="007D2D0F" w:rsidP="007D2D0F">
      <w:pPr>
        <w:pStyle w:val="NormalWeb"/>
        <w:rPr>
          <w:sz w:val="22"/>
          <w:szCs w:val="22"/>
        </w:rPr>
      </w:pPr>
      <w:r w:rsidRPr="007D2D0F">
        <w:rPr>
          <w:rStyle w:val="Strong"/>
          <w:rFonts w:eastAsiaTheme="majorEastAsia"/>
          <w:sz w:val="22"/>
          <w:szCs w:val="22"/>
        </w:rPr>
        <w:t>Business Expansions &amp; Capital Expenditure Plans</w:t>
      </w:r>
    </w:p>
    <w:p w14:paraId="2EB0E350" w14:textId="77777777" w:rsidR="007D2D0F" w:rsidRPr="007D2D0F" w:rsidRDefault="007D2D0F" w:rsidP="00127934">
      <w:pPr>
        <w:pStyle w:val="NormalWeb"/>
        <w:numPr>
          <w:ilvl w:val="0"/>
          <w:numId w:val="50"/>
        </w:numPr>
        <w:rPr>
          <w:sz w:val="22"/>
          <w:szCs w:val="22"/>
        </w:rPr>
      </w:pPr>
      <w:r w:rsidRPr="007D2D0F">
        <w:rPr>
          <w:sz w:val="22"/>
          <w:szCs w:val="22"/>
        </w:rPr>
        <w:t xml:space="preserve">Q2 </w:t>
      </w:r>
      <w:proofErr w:type="spellStart"/>
      <w:r w:rsidRPr="007D2D0F">
        <w:rPr>
          <w:sz w:val="22"/>
          <w:szCs w:val="22"/>
        </w:rPr>
        <w:t>CapEx</w:t>
      </w:r>
      <w:proofErr w:type="spellEnd"/>
      <w:r w:rsidRPr="007D2D0F">
        <w:rPr>
          <w:sz w:val="22"/>
          <w:szCs w:val="22"/>
        </w:rPr>
        <w:t xml:space="preserve">: </w:t>
      </w:r>
      <w:r w:rsidRPr="007D2D0F">
        <w:rPr>
          <w:rStyle w:val="Strong"/>
          <w:rFonts w:eastAsiaTheme="majorEastAsia"/>
          <w:sz w:val="22"/>
          <w:szCs w:val="22"/>
        </w:rPr>
        <w:t>$52 million</w:t>
      </w:r>
      <w:r w:rsidRPr="007D2D0F">
        <w:rPr>
          <w:sz w:val="22"/>
          <w:szCs w:val="22"/>
        </w:rPr>
        <w:t>, focused on:</w:t>
      </w:r>
    </w:p>
    <w:p w14:paraId="530D5219" w14:textId="77777777" w:rsidR="007D2D0F" w:rsidRPr="007D2D0F" w:rsidRDefault="007D2D0F" w:rsidP="00127934">
      <w:pPr>
        <w:pStyle w:val="NormalWeb"/>
        <w:numPr>
          <w:ilvl w:val="1"/>
          <w:numId w:val="50"/>
        </w:numPr>
        <w:rPr>
          <w:sz w:val="22"/>
          <w:szCs w:val="22"/>
        </w:rPr>
      </w:pPr>
      <w:r w:rsidRPr="007D2D0F">
        <w:rPr>
          <w:sz w:val="22"/>
          <w:szCs w:val="22"/>
        </w:rPr>
        <w:t>Equipment upgrades at OSB and siding mills</w:t>
      </w:r>
    </w:p>
    <w:p w14:paraId="41136159" w14:textId="77777777" w:rsidR="007D2D0F" w:rsidRPr="007D2D0F" w:rsidRDefault="007D2D0F" w:rsidP="00127934">
      <w:pPr>
        <w:pStyle w:val="NormalWeb"/>
        <w:numPr>
          <w:ilvl w:val="1"/>
          <w:numId w:val="50"/>
        </w:numPr>
        <w:rPr>
          <w:sz w:val="22"/>
          <w:szCs w:val="22"/>
        </w:rPr>
      </w:pPr>
      <w:r w:rsidRPr="007D2D0F">
        <w:rPr>
          <w:sz w:val="22"/>
          <w:szCs w:val="22"/>
        </w:rPr>
        <w:t>Advanced automation for siding finishing lines</w:t>
      </w:r>
    </w:p>
    <w:p w14:paraId="1F8A6C20" w14:textId="77777777" w:rsidR="007D2D0F" w:rsidRPr="007D2D0F" w:rsidRDefault="007D2D0F" w:rsidP="00127934">
      <w:pPr>
        <w:pStyle w:val="NormalWeb"/>
        <w:numPr>
          <w:ilvl w:val="1"/>
          <w:numId w:val="50"/>
        </w:numPr>
        <w:rPr>
          <w:sz w:val="22"/>
          <w:szCs w:val="22"/>
        </w:rPr>
      </w:pPr>
      <w:r w:rsidRPr="007D2D0F">
        <w:rPr>
          <w:sz w:val="22"/>
          <w:szCs w:val="22"/>
        </w:rPr>
        <w:t>Emission control and environmental compliance projects</w:t>
      </w:r>
    </w:p>
    <w:p w14:paraId="1C62C478" w14:textId="77777777" w:rsidR="007D2D0F" w:rsidRPr="007D2D0F" w:rsidRDefault="007D2D0F" w:rsidP="00127934">
      <w:pPr>
        <w:pStyle w:val="NormalWeb"/>
        <w:numPr>
          <w:ilvl w:val="0"/>
          <w:numId w:val="50"/>
        </w:numPr>
        <w:rPr>
          <w:sz w:val="22"/>
          <w:szCs w:val="22"/>
        </w:rPr>
      </w:pPr>
      <w:r w:rsidRPr="007D2D0F">
        <w:rPr>
          <w:rStyle w:val="Strong"/>
          <w:rFonts w:eastAsiaTheme="majorEastAsia"/>
          <w:sz w:val="22"/>
          <w:szCs w:val="22"/>
        </w:rPr>
        <w:t xml:space="preserve">Hanceville and </w:t>
      </w:r>
      <w:proofErr w:type="gramStart"/>
      <w:r w:rsidRPr="007D2D0F">
        <w:rPr>
          <w:rStyle w:val="Strong"/>
          <w:rFonts w:eastAsiaTheme="majorEastAsia"/>
          <w:sz w:val="22"/>
          <w:szCs w:val="22"/>
        </w:rPr>
        <w:t>Thomasville,</w:t>
      </w:r>
      <w:proofErr w:type="gramEnd"/>
      <w:r w:rsidRPr="007D2D0F">
        <w:rPr>
          <w:rStyle w:val="Strong"/>
          <w:rFonts w:eastAsiaTheme="majorEastAsia"/>
          <w:sz w:val="22"/>
          <w:szCs w:val="22"/>
        </w:rPr>
        <w:t xml:space="preserve"> AL</w:t>
      </w:r>
      <w:r w:rsidRPr="007D2D0F">
        <w:rPr>
          <w:sz w:val="22"/>
          <w:szCs w:val="22"/>
        </w:rPr>
        <w:t xml:space="preserve"> facilities received line upgrades and drying system optimizations aimed at reducing energy consumption and increasing throughput.</w:t>
      </w:r>
    </w:p>
    <w:p w14:paraId="1417F5F4" w14:textId="77777777" w:rsidR="007D2D0F" w:rsidRPr="007D2D0F" w:rsidRDefault="007D2D0F" w:rsidP="00127934">
      <w:pPr>
        <w:pStyle w:val="NormalWeb"/>
        <w:numPr>
          <w:ilvl w:val="0"/>
          <w:numId w:val="50"/>
        </w:numPr>
        <w:rPr>
          <w:sz w:val="22"/>
          <w:szCs w:val="22"/>
        </w:rPr>
      </w:pPr>
      <w:r w:rsidRPr="007D2D0F">
        <w:rPr>
          <w:sz w:val="22"/>
          <w:szCs w:val="22"/>
        </w:rPr>
        <w:t xml:space="preserve">LP continues to expand its </w:t>
      </w:r>
      <w:proofErr w:type="spellStart"/>
      <w:r w:rsidRPr="007D2D0F">
        <w:rPr>
          <w:rStyle w:val="Strong"/>
          <w:rFonts w:eastAsiaTheme="majorEastAsia"/>
          <w:sz w:val="22"/>
          <w:szCs w:val="22"/>
        </w:rPr>
        <w:t>SmartSide</w:t>
      </w:r>
      <w:proofErr w:type="spellEnd"/>
      <w:r w:rsidRPr="007D2D0F">
        <w:rPr>
          <w:rStyle w:val="Strong"/>
          <w:rFonts w:eastAsiaTheme="majorEastAsia"/>
          <w:sz w:val="22"/>
          <w:szCs w:val="22"/>
        </w:rPr>
        <w:t xml:space="preserve"> finishing capacity</w:t>
      </w:r>
      <w:r w:rsidRPr="007D2D0F">
        <w:rPr>
          <w:sz w:val="22"/>
          <w:szCs w:val="22"/>
        </w:rPr>
        <w:t>, including planning a new line in the U.S. South to support 2026 demand.</w:t>
      </w:r>
    </w:p>
    <w:p w14:paraId="76435A9E" w14:textId="77777777" w:rsidR="007D2D0F" w:rsidRPr="007D2D0F" w:rsidRDefault="007D2D0F" w:rsidP="00127934">
      <w:pPr>
        <w:pStyle w:val="NormalWeb"/>
        <w:numPr>
          <w:ilvl w:val="0"/>
          <w:numId w:val="50"/>
        </w:numPr>
        <w:rPr>
          <w:sz w:val="22"/>
          <w:szCs w:val="22"/>
        </w:rPr>
      </w:pPr>
      <w:r w:rsidRPr="007D2D0F">
        <w:rPr>
          <w:sz w:val="22"/>
          <w:szCs w:val="22"/>
        </w:rPr>
        <w:t xml:space="preserve">The company is </w:t>
      </w:r>
      <w:r w:rsidRPr="007D2D0F">
        <w:rPr>
          <w:rStyle w:val="Strong"/>
          <w:rFonts w:eastAsiaTheme="majorEastAsia"/>
          <w:sz w:val="22"/>
          <w:szCs w:val="22"/>
        </w:rPr>
        <w:t>evaluating brownfield expansion opportunities</w:t>
      </w:r>
      <w:r w:rsidRPr="007D2D0F">
        <w:rPr>
          <w:sz w:val="22"/>
          <w:szCs w:val="22"/>
        </w:rPr>
        <w:t xml:space="preserve"> at existing Southern OSB facilities, including potential debottlenecking at Alabama sites.</w:t>
      </w:r>
    </w:p>
    <w:p w14:paraId="10F85C75" w14:textId="77777777" w:rsidR="007D2D0F" w:rsidRPr="007D2D0F" w:rsidRDefault="007D2D0F" w:rsidP="00127934">
      <w:pPr>
        <w:pStyle w:val="NormalWeb"/>
        <w:numPr>
          <w:ilvl w:val="0"/>
          <w:numId w:val="50"/>
        </w:numPr>
        <w:rPr>
          <w:sz w:val="22"/>
          <w:szCs w:val="22"/>
        </w:rPr>
      </w:pPr>
      <w:r w:rsidRPr="007D2D0F">
        <w:rPr>
          <w:sz w:val="22"/>
          <w:szCs w:val="22"/>
        </w:rPr>
        <w:t xml:space="preserve">Full-year </w:t>
      </w:r>
      <w:proofErr w:type="spellStart"/>
      <w:r w:rsidRPr="007D2D0F">
        <w:rPr>
          <w:sz w:val="22"/>
          <w:szCs w:val="22"/>
        </w:rPr>
        <w:t>CapEx</w:t>
      </w:r>
      <w:proofErr w:type="spellEnd"/>
      <w:r w:rsidRPr="007D2D0F">
        <w:rPr>
          <w:sz w:val="22"/>
          <w:szCs w:val="22"/>
        </w:rPr>
        <w:t xml:space="preserve"> (unchanged at up to $220 million) includes digital manufacturing initiatives, predictive maintenance systems, and raw material blending optimization.</w:t>
      </w:r>
    </w:p>
    <w:p w14:paraId="22FFAE20" w14:textId="77777777" w:rsidR="007D2D0F" w:rsidRPr="007D2D0F" w:rsidRDefault="007D2D0F" w:rsidP="007D2D0F">
      <w:pPr>
        <w:pStyle w:val="NormalWeb"/>
        <w:rPr>
          <w:sz w:val="22"/>
          <w:szCs w:val="22"/>
        </w:rPr>
      </w:pPr>
      <w:r w:rsidRPr="007D2D0F">
        <w:rPr>
          <w:rStyle w:val="Strong"/>
          <w:rFonts w:eastAsiaTheme="majorEastAsia"/>
          <w:sz w:val="22"/>
          <w:szCs w:val="22"/>
        </w:rPr>
        <w:t>Segment Performance &amp; Outlook</w:t>
      </w:r>
    </w:p>
    <w:p w14:paraId="45C7CF40" w14:textId="77777777" w:rsidR="007D2D0F" w:rsidRPr="007D2D0F" w:rsidRDefault="007D2D0F" w:rsidP="00127934">
      <w:pPr>
        <w:pStyle w:val="NormalWeb"/>
        <w:numPr>
          <w:ilvl w:val="0"/>
          <w:numId w:val="51"/>
        </w:numPr>
        <w:rPr>
          <w:sz w:val="22"/>
          <w:szCs w:val="22"/>
        </w:rPr>
      </w:pPr>
      <w:r w:rsidRPr="007D2D0F">
        <w:rPr>
          <w:rStyle w:val="Strong"/>
          <w:rFonts w:eastAsiaTheme="majorEastAsia"/>
          <w:sz w:val="22"/>
          <w:szCs w:val="22"/>
        </w:rPr>
        <w:t>Siding</w:t>
      </w:r>
      <w:r w:rsidRPr="007D2D0F">
        <w:rPr>
          <w:sz w:val="22"/>
          <w:szCs w:val="22"/>
        </w:rPr>
        <w:t>:</w:t>
      </w:r>
    </w:p>
    <w:p w14:paraId="1D66AAFC" w14:textId="77777777" w:rsidR="007D2D0F" w:rsidRPr="007D2D0F" w:rsidRDefault="007D2D0F" w:rsidP="00127934">
      <w:pPr>
        <w:pStyle w:val="NormalWeb"/>
        <w:numPr>
          <w:ilvl w:val="1"/>
          <w:numId w:val="51"/>
        </w:numPr>
        <w:rPr>
          <w:sz w:val="22"/>
          <w:szCs w:val="22"/>
        </w:rPr>
      </w:pPr>
      <w:r w:rsidRPr="007D2D0F">
        <w:rPr>
          <w:sz w:val="22"/>
          <w:szCs w:val="22"/>
        </w:rPr>
        <w:t xml:space="preserve">Revenue: </w:t>
      </w:r>
      <w:r w:rsidRPr="007D2D0F">
        <w:rPr>
          <w:rStyle w:val="Strong"/>
          <w:rFonts w:eastAsiaTheme="majorEastAsia"/>
          <w:sz w:val="22"/>
          <w:szCs w:val="22"/>
        </w:rPr>
        <w:t>$454 million</w:t>
      </w:r>
      <w:r w:rsidRPr="007D2D0F">
        <w:rPr>
          <w:sz w:val="22"/>
          <w:szCs w:val="22"/>
        </w:rPr>
        <w:t xml:space="preserve"> (+11% YoY)</w:t>
      </w:r>
    </w:p>
    <w:p w14:paraId="06BA4C22" w14:textId="77777777" w:rsidR="007D2D0F" w:rsidRPr="007D2D0F" w:rsidRDefault="007D2D0F" w:rsidP="00127934">
      <w:pPr>
        <w:pStyle w:val="NormalWeb"/>
        <w:numPr>
          <w:ilvl w:val="1"/>
          <w:numId w:val="51"/>
        </w:numPr>
        <w:rPr>
          <w:sz w:val="22"/>
          <w:szCs w:val="22"/>
        </w:rPr>
      </w:pPr>
      <w:r w:rsidRPr="007D2D0F">
        <w:rPr>
          <w:sz w:val="22"/>
          <w:szCs w:val="22"/>
        </w:rPr>
        <w:t xml:space="preserve">EBITDA: </w:t>
      </w:r>
      <w:r w:rsidRPr="007D2D0F">
        <w:rPr>
          <w:rStyle w:val="Strong"/>
          <w:rFonts w:eastAsiaTheme="majorEastAsia"/>
          <w:sz w:val="22"/>
          <w:szCs w:val="22"/>
        </w:rPr>
        <w:t>$115 million</w:t>
      </w:r>
      <w:r w:rsidRPr="007D2D0F">
        <w:rPr>
          <w:sz w:val="22"/>
          <w:szCs w:val="22"/>
        </w:rPr>
        <w:t xml:space="preserve"> (+16%)</w:t>
      </w:r>
    </w:p>
    <w:p w14:paraId="34076BE0" w14:textId="77777777" w:rsidR="007D2D0F" w:rsidRPr="007D2D0F" w:rsidRDefault="007D2D0F" w:rsidP="00127934">
      <w:pPr>
        <w:pStyle w:val="NormalWeb"/>
        <w:numPr>
          <w:ilvl w:val="1"/>
          <w:numId w:val="51"/>
        </w:numPr>
        <w:rPr>
          <w:sz w:val="22"/>
          <w:szCs w:val="22"/>
        </w:rPr>
      </w:pPr>
      <w:r w:rsidRPr="007D2D0F">
        <w:rPr>
          <w:sz w:val="22"/>
          <w:szCs w:val="22"/>
        </w:rPr>
        <w:t>Growth driven by strand siding volumes (+9%) and price realization</w:t>
      </w:r>
    </w:p>
    <w:p w14:paraId="1BC23AB5" w14:textId="77777777" w:rsidR="007D2D0F" w:rsidRPr="007D2D0F" w:rsidRDefault="007D2D0F" w:rsidP="00127934">
      <w:pPr>
        <w:pStyle w:val="NormalWeb"/>
        <w:numPr>
          <w:ilvl w:val="1"/>
          <w:numId w:val="51"/>
        </w:numPr>
        <w:rPr>
          <w:sz w:val="22"/>
          <w:szCs w:val="22"/>
        </w:rPr>
      </w:pPr>
      <w:r w:rsidRPr="007D2D0F">
        <w:rPr>
          <w:sz w:val="22"/>
          <w:szCs w:val="22"/>
        </w:rPr>
        <w:t>Margin improved to 25.3%, supported by mix and production efficiency</w:t>
      </w:r>
    </w:p>
    <w:p w14:paraId="0552EC6D" w14:textId="77777777" w:rsidR="007D2D0F" w:rsidRPr="007D2D0F" w:rsidRDefault="007D2D0F" w:rsidP="00127934">
      <w:pPr>
        <w:pStyle w:val="NormalWeb"/>
        <w:numPr>
          <w:ilvl w:val="1"/>
          <w:numId w:val="51"/>
        </w:numPr>
        <w:rPr>
          <w:sz w:val="22"/>
          <w:szCs w:val="22"/>
        </w:rPr>
      </w:pPr>
      <w:r w:rsidRPr="007D2D0F">
        <w:rPr>
          <w:sz w:val="22"/>
          <w:szCs w:val="22"/>
        </w:rPr>
        <w:t xml:space="preserve">LP reiterated siding sales goal of </w:t>
      </w:r>
      <w:r w:rsidRPr="007D2D0F">
        <w:rPr>
          <w:rStyle w:val="Strong"/>
          <w:rFonts w:eastAsiaTheme="majorEastAsia"/>
          <w:sz w:val="22"/>
          <w:szCs w:val="22"/>
        </w:rPr>
        <w:t>$1.7 billion</w:t>
      </w:r>
      <w:r w:rsidRPr="007D2D0F">
        <w:rPr>
          <w:sz w:val="22"/>
          <w:szCs w:val="22"/>
        </w:rPr>
        <w:t xml:space="preserve"> for FY2025</w:t>
      </w:r>
    </w:p>
    <w:p w14:paraId="5944CDB0" w14:textId="77777777" w:rsidR="007D2D0F" w:rsidRPr="007D2D0F" w:rsidRDefault="007D2D0F" w:rsidP="00127934">
      <w:pPr>
        <w:pStyle w:val="NormalWeb"/>
        <w:numPr>
          <w:ilvl w:val="1"/>
          <w:numId w:val="51"/>
        </w:numPr>
        <w:rPr>
          <w:sz w:val="22"/>
          <w:szCs w:val="22"/>
        </w:rPr>
      </w:pPr>
      <w:r w:rsidRPr="007D2D0F">
        <w:rPr>
          <w:sz w:val="22"/>
          <w:szCs w:val="22"/>
        </w:rPr>
        <w:t>Alabama OSB output supports substrate supply for siding plants across the region</w:t>
      </w:r>
    </w:p>
    <w:p w14:paraId="3F93CCB4" w14:textId="77777777" w:rsidR="007D2D0F" w:rsidRPr="007D2D0F" w:rsidRDefault="007D2D0F" w:rsidP="00127934">
      <w:pPr>
        <w:pStyle w:val="NormalWeb"/>
        <w:numPr>
          <w:ilvl w:val="0"/>
          <w:numId w:val="51"/>
        </w:numPr>
        <w:rPr>
          <w:sz w:val="22"/>
          <w:szCs w:val="22"/>
        </w:rPr>
      </w:pPr>
      <w:r w:rsidRPr="007D2D0F">
        <w:rPr>
          <w:rStyle w:val="Strong"/>
          <w:rFonts w:eastAsiaTheme="majorEastAsia"/>
          <w:sz w:val="22"/>
          <w:szCs w:val="22"/>
        </w:rPr>
        <w:t>Oriented Strand Board (OSB)</w:t>
      </w:r>
      <w:r w:rsidRPr="007D2D0F">
        <w:rPr>
          <w:sz w:val="22"/>
          <w:szCs w:val="22"/>
        </w:rPr>
        <w:t>:</w:t>
      </w:r>
    </w:p>
    <w:p w14:paraId="2420E138" w14:textId="77777777" w:rsidR="007D2D0F" w:rsidRPr="007D2D0F" w:rsidRDefault="007D2D0F" w:rsidP="00127934">
      <w:pPr>
        <w:pStyle w:val="NormalWeb"/>
        <w:numPr>
          <w:ilvl w:val="1"/>
          <w:numId w:val="51"/>
        </w:numPr>
        <w:rPr>
          <w:sz w:val="22"/>
          <w:szCs w:val="22"/>
        </w:rPr>
      </w:pPr>
      <w:r w:rsidRPr="007D2D0F">
        <w:rPr>
          <w:sz w:val="22"/>
          <w:szCs w:val="22"/>
        </w:rPr>
        <w:t xml:space="preserve">Revenue: </w:t>
      </w:r>
      <w:r w:rsidRPr="007D2D0F">
        <w:rPr>
          <w:rStyle w:val="Strong"/>
          <w:rFonts w:eastAsiaTheme="majorEastAsia"/>
          <w:sz w:val="22"/>
          <w:szCs w:val="22"/>
        </w:rPr>
        <w:t>$332 million</w:t>
      </w:r>
      <w:r w:rsidRPr="007D2D0F">
        <w:rPr>
          <w:sz w:val="22"/>
          <w:szCs w:val="22"/>
        </w:rPr>
        <w:t xml:space="preserve"> (+19% YoY)</w:t>
      </w:r>
    </w:p>
    <w:p w14:paraId="1C6CF44B" w14:textId="77777777" w:rsidR="007D2D0F" w:rsidRPr="007D2D0F" w:rsidRDefault="007D2D0F" w:rsidP="00127934">
      <w:pPr>
        <w:pStyle w:val="NormalWeb"/>
        <w:numPr>
          <w:ilvl w:val="1"/>
          <w:numId w:val="51"/>
        </w:numPr>
        <w:rPr>
          <w:sz w:val="22"/>
          <w:szCs w:val="22"/>
        </w:rPr>
      </w:pPr>
      <w:r w:rsidRPr="007D2D0F">
        <w:rPr>
          <w:sz w:val="22"/>
          <w:szCs w:val="22"/>
        </w:rPr>
        <w:t xml:space="preserve">EBITDA: </w:t>
      </w:r>
      <w:r w:rsidRPr="007D2D0F">
        <w:rPr>
          <w:rStyle w:val="Strong"/>
          <w:rFonts w:eastAsiaTheme="majorEastAsia"/>
          <w:sz w:val="22"/>
          <w:szCs w:val="22"/>
        </w:rPr>
        <w:t>$81 million</w:t>
      </w:r>
      <w:r w:rsidRPr="007D2D0F">
        <w:rPr>
          <w:sz w:val="22"/>
          <w:szCs w:val="22"/>
        </w:rPr>
        <w:t xml:space="preserve"> (+35%)</w:t>
      </w:r>
    </w:p>
    <w:p w14:paraId="1AE497A6" w14:textId="77777777" w:rsidR="007D2D0F" w:rsidRPr="007D2D0F" w:rsidRDefault="007D2D0F" w:rsidP="00127934">
      <w:pPr>
        <w:pStyle w:val="NormalWeb"/>
        <w:numPr>
          <w:ilvl w:val="1"/>
          <w:numId w:val="51"/>
        </w:numPr>
        <w:rPr>
          <w:sz w:val="22"/>
          <w:szCs w:val="22"/>
        </w:rPr>
      </w:pPr>
      <w:r w:rsidRPr="007D2D0F">
        <w:rPr>
          <w:sz w:val="22"/>
          <w:szCs w:val="22"/>
        </w:rPr>
        <w:t>Volumes increased 6%; pricing improved sequentially</w:t>
      </w:r>
    </w:p>
    <w:p w14:paraId="4E9A69D6" w14:textId="77777777" w:rsidR="007D2D0F" w:rsidRPr="007D2D0F" w:rsidRDefault="007D2D0F" w:rsidP="00127934">
      <w:pPr>
        <w:pStyle w:val="NormalWeb"/>
        <w:numPr>
          <w:ilvl w:val="1"/>
          <w:numId w:val="51"/>
        </w:numPr>
        <w:rPr>
          <w:sz w:val="22"/>
          <w:szCs w:val="22"/>
        </w:rPr>
      </w:pPr>
      <w:r w:rsidRPr="007D2D0F">
        <w:rPr>
          <w:sz w:val="22"/>
          <w:szCs w:val="22"/>
        </w:rPr>
        <w:t xml:space="preserve">Southern mills, including </w:t>
      </w:r>
      <w:r w:rsidRPr="007D2D0F">
        <w:rPr>
          <w:rStyle w:val="Strong"/>
          <w:rFonts w:eastAsiaTheme="majorEastAsia"/>
          <w:sz w:val="22"/>
          <w:szCs w:val="22"/>
        </w:rPr>
        <w:t>Hanceville and Thomasville</w:t>
      </w:r>
      <w:r w:rsidRPr="007D2D0F">
        <w:rPr>
          <w:sz w:val="22"/>
          <w:szCs w:val="22"/>
        </w:rPr>
        <w:t>, were among top-performing facilities</w:t>
      </w:r>
    </w:p>
    <w:p w14:paraId="14DB08DE" w14:textId="77777777" w:rsidR="007D2D0F" w:rsidRPr="007D2D0F" w:rsidRDefault="007D2D0F" w:rsidP="00127934">
      <w:pPr>
        <w:pStyle w:val="NormalWeb"/>
        <w:numPr>
          <w:ilvl w:val="1"/>
          <w:numId w:val="51"/>
        </w:numPr>
        <w:rPr>
          <w:sz w:val="22"/>
          <w:szCs w:val="22"/>
        </w:rPr>
      </w:pPr>
      <w:r w:rsidRPr="007D2D0F">
        <w:rPr>
          <w:sz w:val="22"/>
          <w:szCs w:val="22"/>
        </w:rPr>
        <w:t>LP plans to maintain current OSB output levels unless pricing or demand significantly declines</w:t>
      </w:r>
    </w:p>
    <w:p w14:paraId="31EFE31F" w14:textId="77777777" w:rsidR="007D2D0F" w:rsidRPr="007D2D0F" w:rsidRDefault="007D2D0F" w:rsidP="00127934">
      <w:pPr>
        <w:pStyle w:val="NormalWeb"/>
        <w:numPr>
          <w:ilvl w:val="0"/>
          <w:numId w:val="51"/>
        </w:numPr>
        <w:rPr>
          <w:sz w:val="22"/>
          <w:szCs w:val="22"/>
        </w:rPr>
      </w:pPr>
      <w:r w:rsidRPr="007D2D0F">
        <w:rPr>
          <w:rStyle w:val="Strong"/>
          <w:rFonts w:eastAsiaTheme="majorEastAsia"/>
          <w:sz w:val="22"/>
          <w:szCs w:val="22"/>
        </w:rPr>
        <w:t>Engineered Wood Products &amp; South America</w:t>
      </w:r>
      <w:r w:rsidRPr="007D2D0F">
        <w:rPr>
          <w:sz w:val="22"/>
          <w:szCs w:val="22"/>
        </w:rPr>
        <w:t>:</w:t>
      </w:r>
    </w:p>
    <w:p w14:paraId="5AE8F81F" w14:textId="77777777" w:rsidR="007D2D0F" w:rsidRPr="007D2D0F" w:rsidRDefault="007D2D0F" w:rsidP="00127934">
      <w:pPr>
        <w:pStyle w:val="NormalWeb"/>
        <w:numPr>
          <w:ilvl w:val="1"/>
          <w:numId w:val="51"/>
        </w:numPr>
        <w:rPr>
          <w:sz w:val="22"/>
          <w:szCs w:val="22"/>
        </w:rPr>
      </w:pPr>
      <w:r w:rsidRPr="007D2D0F">
        <w:rPr>
          <w:sz w:val="22"/>
          <w:szCs w:val="22"/>
        </w:rPr>
        <w:t>Revenue: $83 million; margins flat</w:t>
      </w:r>
    </w:p>
    <w:p w14:paraId="3683B1A0" w14:textId="77777777" w:rsidR="007D2D0F" w:rsidRPr="007D2D0F" w:rsidRDefault="007D2D0F" w:rsidP="00127934">
      <w:pPr>
        <w:pStyle w:val="NormalWeb"/>
        <w:numPr>
          <w:ilvl w:val="1"/>
          <w:numId w:val="51"/>
        </w:numPr>
        <w:rPr>
          <w:sz w:val="22"/>
          <w:szCs w:val="22"/>
        </w:rPr>
      </w:pPr>
      <w:r w:rsidRPr="007D2D0F">
        <w:rPr>
          <w:sz w:val="22"/>
          <w:szCs w:val="22"/>
        </w:rPr>
        <w:t>Chile operations showed improved demand; Brazil remained soft</w:t>
      </w:r>
    </w:p>
    <w:p w14:paraId="75422455" w14:textId="77777777" w:rsidR="007D2D0F" w:rsidRPr="007D2D0F" w:rsidRDefault="007D2D0F" w:rsidP="00127934">
      <w:pPr>
        <w:pStyle w:val="NormalWeb"/>
        <w:numPr>
          <w:ilvl w:val="1"/>
          <w:numId w:val="51"/>
        </w:numPr>
        <w:rPr>
          <w:sz w:val="22"/>
          <w:szCs w:val="22"/>
        </w:rPr>
      </w:pPr>
      <w:r w:rsidRPr="007D2D0F">
        <w:rPr>
          <w:sz w:val="22"/>
          <w:szCs w:val="22"/>
        </w:rPr>
        <w:t>EWP operations stable; no immediate plans for expansion</w:t>
      </w:r>
    </w:p>
    <w:p w14:paraId="0578CF96" w14:textId="77777777" w:rsidR="007D2D0F" w:rsidRPr="007D2D0F" w:rsidRDefault="007D2D0F" w:rsidP="00127934">
      <w:pPr>
        <w:pStyle w:val="NormalWeb"/>
        <w:numPr>
          <w:ilvl w:val="0"/>
          <w:numId w:val="51"/>
        </w:numPr>
        <w:rPr>
          <w:sz w:val="22"/>
          <w:szCs w:val="22"/>
        </w:rPr>
      </w:pPr>
      <w:r w:rsidRPr="007D2D0F">
        <w:rPr>
          <w:rStyle w:val="Strong"/>
          <w:rFonts w:eastAsiaTheme="majorEastAsia"/>
          <w:sz w:val="22"/>
          <w:szCs w:val="22"/>
        </w:rPr>
        <w:t>Outlook</w:t>
      </w:r>
      <w:r w:rsidRPr="007D2D0F">
        <w:rPr>
          <w:sz w:val="22"/>
          <w:szCs w:val="22"/>
        </w:rPr>
        <w:t>:</w:t>
      </w:r>
    </w:p>
    <w:p w14:paraId="06C066F7" w14:textId="77777777" w:rsidR="007D2D0F" w:rsidRPr="007D2D0F" w:rsidRDefault="007D2D0F" w:rsidP="00127934">
      <w:pPr>
        <w:pStyle w:val="NormalWeb"/>
        <w:numPr>
          <w:ilvl w:val="1"/>
          <w:numId w:val="51"/>
        </w:numPr>
        <w:rPr>
          <w:sz w:val="22"/>
          <w:szCs w:val="22"/>
        </w:rPr>
      </w:pPr>
      <w:r w:rsidRPr="007D2D0F">
        <w:rPr>
          <w:sz w:val="22"/>
          <w:szCs w:val="22"/>
        </w:rPr>
        <w:t>Q3 expected to benefit from continued OSB price strength and strong seasonal construction demand</w:t>
      </w:r>
    </w:p>
    <w:p w14:paraId="1E3AD16C" w14:textId="77777777" w:rsidR="007D2D0F" w:rsidRPr="007D2D0F" w:rsidRDefault="007D2D0F" w:rsidP="00127934">
      <w:pPr>
        <w:pStyle w:val="NormalWeb"/>
        <w:numPr>
          <w:ilvl w:val="1"/>
          <w:numId w:val="51"/>
        </w:numPr>
        <w:rPr>
          <w:sz w:val="22"/>
          <w:szCs w:val="22"/>
        </w:rPr>
      </w:pPr>
      <w:r w:rsidRPr="007D2D0F">
        <w:rPr>
          <w:sz w:val="22"/>
          <w:szCs w:val="22"/>
        </w:rPr>
        <w:lastRenderedPageBreak/>
        <w:t>Management noted that while macro conditions are mixed, LP’s channel data suggests continued strength in Southern U.S. R&amp;R markets</w:t>
      </w:r>
    </w:p>
    <w:p w14:paraId="5180DED8" w14:textId="77777777" w:rsidR="007D2D0F" w:rsidRPr="007D2D0F" w:rsidRDefault="007D2D0F" w:rsidP="00127934">
      <w:pPr>
        <w:pStyle w:val="NormalWeb"/>
        <w:numPr>
          <w:ilvl w:val="1"/>
          <w:numId w:val="51"/>
        </w:numPr>
        <w:rPr>
          <w:sz w:val="22"/>
          <w:szCs w:val="22"/>
        </w:rPr>
      </w:pPr>
      <w:r w:rsidRPr="007D2D0F">
        <w:rPr>
          <w:sz w:val="22"/>
          <w:szCs w:val="22"/>
        </w:rPr>
        <w:t>FY2025 EBITDA outlook reaffirmed, with potential upside tied to OSB pricing volatility</w:t>
      </w:r>
    </w:p>
    <w:p w14:paraId="57F1F0AA" w14:textId="77777777" w:rsidR="007D2D0F" w:rsidRPr="007D2D0F" w:rsidRDefault="007D2D0F" w:rsidP="00127934">
      <w:pPr>
        <w:pStyle w:val="NormalWeb"/>
        <w:numPr>
          <w:ilvl w:val="1"/>
          <w:numId w:val="51"/>
        </w:numPr>
        <w:rPr>
          <w:sz w:val="22"/>
          <w:szCs w:val="22"/>
        </w:rPr>
      </w:pPr>
      <w:proofErr w:type="spellStart"/>
      <w:r w:rsidRPr="007D2D0F">
        <w:rPr>
          <w:sz w:val="22"/>
          <w:szCs w:val="22"/>
        </w:rPr>
        <w:t>CapEx</w:t>
      </w:r>
      <w:proofErr w:type="spellEnd"/>
      <w:r w:rsidRPr="007D2D0F">
        <w:rPr>
          <w:sz w:val="22"/>
          <w:szCs w:val="22"/>
        </w:rPr>
        <w:t xml:space="preserve"> discipline and operating efficiency remain central to value creation</w:t>
      </w:r>
    </w:p>
    <w:p w14:paraId="77AA8EAF" w14:textId="77777777" w:rsidR="007D2D0F" w:rsidRPr="007D2D0F" w:rsidRDefault="007D2D0F" w:rsidP="00127934">
      <w:pPr>
        <w:pStyle w:val="NormalWeb"/>
        <w:numPr>
          <w:ilvl w:val="1"/>
          <w:numId w:val="51"/>
        </w:numPr>
        <w:rPr>
          <w:sz w:val="22"/>
          <w:szCs w:val="22"/>
        </w:rPr>
      </w:pPr>
      <w:r w:rsidRPr="007D2D0F">
        <w:rPr>
          <w:rStyle w:val="Strong"/>
          <w:rFonts w:eastAsiaTheme="majorEastAsia"/>
          <w:sz w:val="22"/>
          <w:szCs w:val="22"/>
        </w:rPr>
        <w:t>Alabama operations</w:t>
      </w:r>
      <w:r w:rsidRPr="007D2D0F">
        <w:rPr>
          <w:sz w:val="22"/>
          <w:szCs w:val="22"/>
        </w:rPr>
        <w:t xml:space="preserve"> expected to remain core contributors to LP’s low-cost mill network and future growth plans in the region</w:t>
      </w:r>
    </w:p>
    <w:p w14:paraId="6F056D40" w14:textId="77777777" w:rsidR="007D2D0F" w:rsidRPr="00BC0D8E" w:rsidRDefault="007D2D0F" w:rsidP="3CA273EB">
      <w:pPr>
        <w:rPr>
          <w:rFonts w:ascii="Times New Roman" w:hAnsi="Times New Roman" w:cs="Times New Roman"/>
        </w:rPr>
      </w:pPr>
    </w:p>
    <w:p w14:paraId="6AC35ACD" w14:textId="30830920" w:rsidR="2535092B" w:rsidRDefault="2535092B" w:rsidP="2535092B">
      <w:pPr>
        <w:rPr>
          <w:rFonts w:ascii="Times New Roman" w:eastAsia="Times New Roman" w:hAnsi="Times New Roman" w:cs="Times New Roman"/>
          <w:color w:val="000000" w:themeColor="text1"/>
        </w:rPr>
      </w:pPr>
    </w:p>
    <w:p w14:paraId="633DD139" w14:textId="77777777" w:rsidR="00E263BE" w:rsidRPr="00BC0D8E" w:rsidRDefault="00E263BE" w:rsidP="00E263BE"/>
    <w:p w14:paraId="1BC152CA" w14:textId="77777777" w:rsidR="008B733A" w:rsidRPr="00BC0D8E" w:rsidRDefault="34354836" w:rsidP="00F67A6C">
      <w:pPr>
        <w:pStyle w:val="Heading2"/>
        <w:rPr>
          <w:rFonts w:cs="Times New Roman"/>
        </w:rPr>
      </w:pPr>
      <w:bookmarkStart w:id="65" w:name="_Toc147824676"/>
      <w:bookmarkStart w:id="66" w:name="_Toc212796758"/>
      <w:r w:rsidRPr="2535092B">
        <w:rPr>
          <w:rFonts w:cs="Times New Roman"/>
        </w:rPr>
        <w:t>NFI Group Inc. (</w:t>
      </w:r>
      <w:proofErr w:type="gramStart"/>
      <w:r w:rsidRPr="2535092B">
        <w:rPr>
          <w:rFonts w:cs="Times New Roman"/>
        </w:rPr>
        <w:t>TSX:NFI</w:t>
      </w:r>
      <w:proofErr w:type="gramEnd"/>
      <w:r w:rsidRPr="2535092B">
        <w:rPr>
          <w:rFonts w:cs="Times New Roman"/>
        </w:rPr>
        <w:t>)</w:t>
      </w:r>
      <w:bookmarkEnd w:id="65"/>
      <w:bookmarkEnd w:id="66"/>
      <w:r w:rsidRPr="2535092B">
        <w:rPr>
          <w:rFonts w:cs="Times New Roman"/>
        </w:rPr>
        <w:t xml:space="preserve"> </w:t>
      </w:r>
    </w:p>
    <w:p w14:paraId="6291D224" w14:textId="7D9C6FF9" w:rsidR="008B733A" w:rsidRPr="00BC0D8E" w:rsidRDefault="02FFA956" w:rsidP="2535092B">
      <w:pPr>
        <w:pStyle w:val="Heading3"/>
        <w:rPr>
          <w:rFonts w:cs="Times New Roman"/>
          <w:color w:val="00B050"/>
        </w:rPr>
      </w:pPr>
      <w:bookmarkStart w:id="67" w:name="_Toc147824677"/>
      <w:bookmarkStart w:id="68" w:name="_Toc212796759"/>
      <w:r w:rsidRPr="2EEB26EF">
        <w:rPr>
          <w:rFonts w:cs="Times New Roman"/>
        </w:rPr>
        <w:t xml:space="preserve">Outlook: </w:t>
      </w:r>
      <w:bookmarkEnd w:id="67"/>
      <w:r w:rsidR="00CE1784">
        <w:rPr>
          <w:rFonts w:cs="Times New Roman"/>
        </w:rPr>
        <w:t>Neutral</w:t>
      </w:r>
      <w:bookmarkEnd w:id="68"/>
    </w:p>
    <w:p w14:paraId="0F37A937" w14:textId="6C49B176" w:rsidR="008B733A" w:rsidRPr="00BC0D8E" w:rsidRDefault="02FFA956" w:rsidP="3CA273EB">
      <w:pPr>
        <w:pStyle w:val="Heading3"/>
        <w:rPr>
          <w:rFonts w:cs="Times New Roman"/>
          <w:color w:val="00B050"/>
        </w:rPr>
      </w:pPr>
      <w:bookmarkStart w:id="69" w:name="_Toc147824678"/>
      <w:bookmarkStart w:id="70" w:name="_Toc212796760"/>
      <w:r w:rsidRPr="2EEB26EF">
        <w:rPr>
          <w:rFonts w:cs="Times New Roman"/>
        </w:rPr>
        <w:t xml:space="preserve">AL Outlook: </w:t>
      </w:r>
      <w:bookmarkEnd w:id="69"/>
      <w:r w:rsidR="00CE1784">
        <w:rPr>
          <w:rFonts w:cs="Times New Roman"/>
        </w:rPr>
        <w:t>Neutral</w:t>
      </w:r>
      <w:bookmarkEnd w:id="70"/>
    </w:p>
    <w:p w14:paraId="4457E879" w14:textId="24A29E96" w:rsidR="02FFA956" w:rsidRDefault="02FFA956" w:rsidP="0227D82F">
      <w:pPr>
        <w:rPr>
          <w:rFonts w:ascii="Times New Roman" w:hAnsi="Times New Roman" w:cs="Times New Roman"/>
        </w:rPr>
      </w:pPr>
      <w:r w:rsidRPr="0227D82F">
        <w:rPr>
          <w:rFonts w:ascii="Times New Roman" w:hAnsi="Times New Roman" w:cs="Times New Roman"/>
          <w:b/>
          <w:bCs/>
        </w:rPr>
        <w:t>Recommended Action:</w:t>
      </w:r>
      <w:r w:rsidRPr="0227D82F">
        <w:rPr>
          <w:rFonts w:ascii="Times New Roman" w:hAnsi="Times New Roman" w:cs="Times New Roman"/>
        </w:rPr>
        <w:t xml:space="preserve"> </w:t>
      </w:r>
      <w:r w:rsidR="62005E48" w:rsidRPr="0227D82F">
        <w:rPr>
          <w:rFonts w:ascii="Times New Roman" w:hAnsi="Times New Roman" w:cs="Times New Roman"/>
        </w:rPr>
        <w:t>N/A</w:t>
      </w:r>
    </w:p>
    <w:p w14:paraId="4F6794FD" w14:textId="77777777" w:rsidR="004175EB" w:rsidRDefault="516D7F4A" w:rsidP="2535092B">
      <w:pPr>
        <w:rPr>
          <w:rFonts w:ascii="Times New Roman" w:eastAsia="Times New Roman" w:hAnsi="Times New Roman" w:cs="Times New Roman"/>
          <w:color w:val="000000" w:themeColor="text1"/>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Anniston - bus manufacturing facility</w:t>
      </w:r>
    </w:p>
    <w:p w14:paraId="5B4C5732" w14:textId="520181D3" w:rsidR="00E20E1C" w:rsidRPr="00E20E1C" w:rsidRDefault="00E20E1C" w:rsidP="00E20E1C">
      <w:pPr>
        <w:pStyle w:val="NormalWeb"/>
        <w:rPr>
          <w:sz w:val="22"/>
          <w:szCs w:val="22"/>
        </w:rPr>
      </w:pPr>
      <w:r w:rsidRPr="00E20E1C">
        <w:rPr>
          <w:rStyle w:val="Strong"/>
          <w:rFonts w:eastAsiaTheme="majorEastAsia"/>
          <w:sz w:val="22"/>
          <w:szCs w:val="22"/>
        </w:rPr>
        <w:t>Key Takeaways</w:t>
      </w:r>
    </w:p>
    <w:p w14:paraId="1ABA048A" w14:textId="77777777" w:rsidR="00E20E1C" w:rsidRPr="00E20E1C" w:rsidRDefault="00E20E1C" w:rsidP="00127934">
      <w:pPr>
        <w:pStyle w:val="NormalWeb"/>
        <w:numPr>
          <w:ilvl w:val="0"/>
          <w:numId w:val="52"/>
        </w:numPr>
        <w:rPr>
          <w:sz w:val="22"/>
          <w:szCs w:val="22"/>
        </w:rPr>
      </w:pPr>
      <w:r w:rsidRPr="00E20E1C">
        <w:rPr>
          <w:sz w:val="22"/>
          <w:szCs w:val="22"/>
        </w:rPr>
        <w:t xml:space="preserve">NFI posted a </w:t>
      </w:r>
      <w:r w:rsidRPr="00E20E1C">
        <w:rPr>
          <w:rStyle w:val="Strong"/>
          <w:rFonts w:eastAsiaTheme="majorEastAsia"/>
          <w:sz w:val="22"/>
          <w:szCs w:val="22"/>
        </w:rPr>
        <w:t>19% YoY increase in adjusted EBITDA</w:t>
      </w:r>
      <w:r w:rsidRPr="00E20E1C">
        <w:rPr>
          <w:sz w:val="22"/>
          <w:szCs w:val="22"/>
        </w:rPr>
        <w:t xml:space="preserve"> and a significant improvement in adjusted net earnings, indicating continued operational recovery.</w:t>
      </w:r>
    </w:p>
    <w:p w14:paraId="6D4CE0C5" w14:textId="77777777" w:rsidR="00E20E1C" w:rsidRPr="00E20E1C" w:rsidRDefault="00E20E1C" w:rsidP="00127934">
      <w:pPr>
        <w:pStyle w:val="NormalWeb"/>
        <w:numPr>
          <w:ilvl w:val="0"/>
          <w:numId w:val="52"/>
        </w:numPr>
        <w:rPr>
          <w:sz w:val="22"/>
          <w:szCs w:val="22"/>
        </w:rPr>
      </w:pPr>
      <w:r w:rsidRPr="00E20E1C">
        <w:rPr>
          <w:sz w:val="22"/>
          <w:szCs w:val="22"/>
        </w:rPr>
        <w:t xml:space="preserve">The company’s </w:t>
      </w:r>
      <w:r w:rsidRPr="00E20E1C">
        <w:rPr>
          <w:rStyle w:val="Strong"/>
          <w:rFonts w:eastAsiaTheme="majorEastAsia"/>
          <w:sz w:val="22"/>
          <w:szCs w:val="22"/>
        </w:rPr>
        <w:t>total backlog reached $13.5 billion</w:t>
      </w:r>
      <w:r w:rsidRPr="00E20E1C">
        <w:rPr>
          <w:sz w:val="22"/>
          <w:szCs w:val="22"/>
        </w:rPr>
        <w:t>, with 16,198 equivalent units (EUs), reflecting strong North American public transit demand.</w:t>
      </w:r>
    </w:p>
    <w:p w14:paraId="3957E013" w14:textId="77777777" w:rsidR="00E20E1C" w:rsidRPr="00E20E1C" w:rsidRDefault="00E20E1C" w:rsidP="00127934">
      <w:pPr>
        <w:pStyle w:val="NormalWeb"/>
        <w:numPr>
          <w:ilvl w:val="0"/>
          <w:numId w:val="52"/>
        </w:numPr>
        <w:rPr>
          <w:sz w:val="22"/>
          <w:szCs w:val="22"/>
        </w:rPr>
      </w:pPr>
      <w:r w:rsidRPr="00E20E1C">
        <w:rPr>
          <w:sz w:val="22"/>
          <w:szCs w:val="22"/>
        </w:rPr>
        <w:t xml:space="preserve">The </w:t>
      </w:r>
      <w:r w:rsidRPr="00E20E1C">
        <w:rPr>
          <w:rStyle w:val="Strong"/>
          <w:rFonts w:eastAsiaTheme="majorEastAsia"/>
          <w:sz w:val="22"/>
          <w:szCs w:val="22"/>
        </w:rPr>
        <w:t>Anniston, Alabama facility</w:t>
      </w:r>
      <w:r w:rsidRPr="00E20E1C">
        <w:rPr>
          <w:sz w:val="22"/>
          <w:szCs w:val="22"/>
        </w:rPr>
        <w:t xml:space="preserve"> is an integral part of the North American bus production network, with robust production activity expected through 2026.</w:t>
      </w:r>
    </w:p>
    <w:p w14:paraId="7B3C1223" w14:textId="77777777" w:rsidR="00E20E1C" w:rsidRPr="00E20E1C" w:rsidRDefault="00E20E1C" w:rsidP="00127934">
      <w:pPr>
        <w:pStyle w:val="NormalWeb"/>
        <w:numPr>
          <w:ilvl w:val="0"/>
          <w:numId w:val="52"/>
        </w:numPr>
        <w:rPr>
          <w:sz w:val="22"/>
          <w:szCs w:val="22"/>
        </w:rPr>
      </w:pPr>
      <w:r w:rsidRPr="00E20E1C">
        <w:rPr>
          <w:sz w:val="22"/>
          <w:szCs w:val="22"/>
        </w:rPr>
        <w:t xml:space="preserve">Supply chain recovery continues, particularly with </w:t>
      </w:r>
      <w:r w:rsidRPr="00E20E1C">
        <w:rPr>
          <w:rStyle w:val="Strong"/>
          <w:rFonts w:eastAsiaTheme="majorEastAsia"/>
          <w:sz w:val="22"/>
          <w:szCs w:val="22"/>
        </w:rPr>
        <w:t>seat component availability improving</w:t>
      </w:r>
      <w:r w:rsidRPr="00E20E1C">
        <w:rPr>
          <w:sz w:val="22"/>
          <w:szCs w:val="22"/>
        </w:rPr>
        <w:t>, helping reduce work-in-progress (WIP) bottlenecks across U.S. operations.</w:t>
      </w:r>
    </w:p>
    <w:p w14:paraId="4A90D5BB" w14:textId="77777777" w:rsidR="00E20E1C" w:rsidRPr="00E20E1C" w:rsidRDefault="00E20E1C" w:rsidP="00127934">
      <w:pPr>
        <w:pStyle w:val="NormalWeb"/>
        <w:numPr>
          <w:ilvl w:val="0"/>
          <w:numId w:val="52"/>
        </w:numPr>
        <w:rPr>
          <w:sz w:val="22"/>
          <w:szCs w:val="22"/>
        </w:rPr>
      </w:pPr>
      <w:r w:rsidRPr="00E20E1C">
        <w:rPr>
          <w:sz w:val="22"/>
          <w:szCs w:val="22"/>
        </w:rPr>
        <w:t xml:space="preserve">Management reaffirmed </w:t>
      </w:r>
      <w:r w:rsidRPr="00E20E1C">
        <w:rPr>
          <w:rStyle w:val="Strong"/>
          <w:rFonts w:eastAsiaTheme="majorEastAsia"/>
          <w:sz w:val="22"/>
          <w:szCs w:val="22"/>
        </w:rPr>
        <w:t>FY2025 guidance</w:t>
      </w:r>
      <w:r w:rsidRPr="00E20E1C">
        <w:rPr>
          <w:sz w:val="22"/>
          <w:szCs w:val="22"/>
        </w:rPr>
        <w:t xml:space="preserve"> across revenue, EBITDA, and cash flow targets, with over </w:t>
      </w:r>
      <w:r w:rsidRPr="00E20E1C">
        <w:rPr>
          <w:rStyle w:val="Strong"/>
          <w:rFonts w:eastAsiaTheme="majorEastAsia"/>
          <w:sz w:val="22"/>
          <w:szCs w:val="22"/>
        </w:rPr>
        <w:t>60% of EBITDA expected in the second half</w:t>
      </w:r>
      <w:r w:rsidRPr="00E20E1C">
        <w:rPr>
          <w:sz w:val="22"/>
          <w:szCs w:val="22"/>
        </w:rPr>
        <w:t>.</w:t>
      </w:r>
    </w:p>
    <w:p w14:paraId="31643B14" w14:textId="77777777" w:rsidR="00E20E1C" w:rsidRPr="00E20E1C" w:rsidRDefault="00E20E1C" w:rsidP="00127934">
      <w:pPr>
        <w:pStyle w:val="NormalWeb"/>
        <w:numPr>
          <w:ilvl w:val="0"/>
          <w:numId w:val="52"/>
        </w:numPr>
        <w:rPr>
          <w:sz w:val="22"/>
          <w:szCs w:val="22"/>
        </w:rPr>
      </w:pPr>
      <w:r w:rsidRPr="00E20E1C">
        <w:rPr>
          <w:sz w:val="22"/>
          <w:szCs w:val="22"/>
        </w:rPr>
        <w:t>Refinancing completed during the quarter improves liquidity, reduces interest costs, and enhances flexibility to deliver on the record backlog.</w:t>
      </w:r>
    </w:p>
    <w:p w14:paraId="6D3B476E" w14:textId="77777777" w:rsidR="00E20E1C" w:rsidRPr="00E20E1C" w:rsidRDefault="00E20E1C" w:rsidP="00E20E1C">
      <w:pPr>
        <w:pStyle w:val="NormalWeb"/>
        <w:rPr>
          <w:sz w:val="22"/>
          <w:szCs w:val="22"/>
        </w:rPr>
      </w:pPr>
      <w:r w:rsidRPr="00E20E1C">
        <w:rPr>
          <w:rStyle w:val="Strong"/>
          <w:rFonts w:eastAsiaTheme="majorEastAsia"/>
          <w:sz w:val="22"/>
          <w:szCs w:val="22"/>
        </w:rPr>
        <w:t>Financial Highlights</w:t>
      </w:r>
    </w:p>
    <w:p w14:paraId="163026A6" w14:textId="77777777" w:rsidR="00E20E1C" w:rsidRPr="00E20E1C" w:rsidRDefault="00E20E1C" w:rsidP="00127934">
      <w:pPr>
        <w:pStyle w:val="NormalWeb"/>
        <w:numPr>
          <w:ilvl w:val="0"/>
          <w:numId w:val="53"/>
        </w:numPr>
        <w:rPr>
          <w:sz w:val="22"/>
          <w:szCs w:val="22"/>
        </w:rPr>
      </w:pPr>
      <w:r w:rsidRPr="00E20E1C">
        <w:rPr>
          <w:rStyle w:val="Strong"/>
          <w:rFonts w:eastAsiaTheme="majorEastAsia"/>
          <w:sz w:val="22"/>
          <w:szCs w:val="22"/>
        </w:rPr>
        <w:t>Revenue</w:t>
      </w:r>
      <w:r w:rsidRPr="00E20E1C">
        <w:rPr>
          <w:sz w:val="22"/>
          <w:szCs w:val="22"/>
        </w:rPr>
        <w:t>: $868.2 million, down 4.3% YoY, missing consensus due to timing of coach deliveries and seat supply disruption.</w:t>
      </w:r>
    </w:p>
    <w:p w14:paraId="50476022" w14:textId="77777777" w:rsidR="00E20E1C" w:rsidRPr="00E20E1C" w:rsidRDefault="00E20E1C" w:rsidP="00127934">
      <w:pPr>
        <w:pStyle w:val="NormalWeb"/>
        <w:numPr>
          <w:ilvl w:val="0"/>
          <w:numId w:val="53"/>
        </w:numPr>
        <w:rPr>
          <w:sz w:val="22"/>
          <w:szCs w:val="22"/>
        </w:rPr>
      </w:pPr>
      <w:r w:rsidRPr="00E20E1C">
        <w:rPr>
          <w:rStyle w:val="Strong"/>
          <w:rFonts w:eastAsiaTheme="majorEastAsia"/>
          <w:sz w:val="22"/>
          <w:szCs w:val="22"/>
        </w:rPr>
        <w:t>Adjusted EBITDA</w:t>
      </w:r>
      <w:r w:rsidRPr="00E20E1C">
        <w:rPr>
          <w:sz w:val="22"/>
          <w:szCs w:val="22"/>
        </w:rPr>
        <w:t>: $63.4 million, up 19% YoY.</w:t>
      </w:r>
    </w:p>
    <w:p w14:paraId="5D3FCA2C" w14:textId="77777777" w:rsidR="00E20E1C" w:rsidRPr="00E20E1C" w:rsidRDefault="00E20E1C" w:rsidP="00127934">
      <w:pPr>
        <w:pStyle w:val="NormalWeb"/>
        <w:numPr>
          <w:ilvl w:val="0"/>
          <w:numId w:val="53"/>
        </w:numPr>
        <w:rPr>
          <w:sz w:val="22"/>
          <w:szCs w:val="22"/>
        </w:rPr>
      </w:pPr>
      <w:r w:rsidRPr="00E20E1C">
        <w:rPr>
          <w:rStyle w:val="Strong"/>
          <w:rFonts w:eastAsiaTheme="majorEastAsia"/>
          <w:sz w:val="22"/>
          <w:szCs w:val="22"/>
        </w:rPr>
        <w:t>Adjusted Net Income</w:t>
      </w:r>
      <w:r w:rsidRPr="00E20E1C">
        <w:rPr>
          <w:sz w:val="22"/>
          <w:szCs w:val="22"/>
        </w:rPr>
        <w:t>: $10.7 million or $0.09/share (vs. $3.1 million or $0.02/share in Q2 2024).</w:t>
      </w:r>
    </w:p>
    <w:p w14:paraId="733BE14F" w14:textId="77777777" w:rsidR="00E20E1C" w:rsidRPr="00E20E1C" w:rsidRDefault="00E20E1C" w:rsidP="00127934">
      <w:pPr>
        <w:pStyle w:val="NormalWeb"/>
        <w:numPr>
          <w:ilvl w:val="0"/>
          <w:numId w:val="53"/>
        </w:numPr>
        <w:rPr>
          <w:sz w:val="22"/>
          <w:szCs w:val="22"/>
        </w:rPr>
      </w:pPr>
      <w:r w:rsidRPr="00E20E1C">
        <w:rPr>
          <w:rStyle w:val="Strong"/>
          <w:rFonts w:eastAsiaTheme="majorEastAsia"/>
          <w:sz w:val="22"/>
          <w:szCs w:val="22"/>
        </w:rPr>
        <w:t>Free Cash Flow</w:t>
      </w:r>
      <w:r w:rsidRPr="00E20E1C">
        <w:rPr>
          <w:sz w:val="22"/>
          <w:szCs w:val="22"/>
        </w:rPr>
        <w:t>: Strongly positive, aided by improved collections and deferred revenue.</w:t>
      </w:r>
    </w:p>
    <w:p w14:paraId="5B3F800B" w14:textId="77777777" w:rsidR="00E20E1C" w:rsidRPr="00E20E1C" w:rsidRDefault="00E20E1C" w:rsidP="00127934">
      <w:pPr>
        <w:pStyle w:val="NormalWeb"/>
        <w:numPr>
          <w:ilvl w:val="0"/>
          <w:numId w:val="53"/>
        </w:numPr>
        <w:rPr>
          <w:sz w:val="22"/>
          <w:szCs w:val="22"/>
        </w:rPr>
      </w:pPr>
      <w:r w:rsidRPr="00E20E1C">
        <w:rPr>
          <w:rStyle w:val="Strong"/>
          <w:rFonts w:eastAsiaTheme="majorEastAsia"/>
          <w:sz w:val="22"/>
          <w:szCs w:val="22"/>
        </w:rPr>
        <w:t>Liquidity</w:t>
      </w:r>
      <w:r w:rsidRPr="00E20E1C">
        <w:rPr>
          <w:sz w:val="22"/>
          <w:szCs w:val="22"/>
        </w:rPr>
        <w:t>: $326.7 million as of quarter-end, supported by recent refinancing of first and second lien facilities.</w:t>
      </w:r>
    </w:p>
    <w:p w14:paraId="2E201903" w14:textId="77777777" w:rsidR="00E20E1C" w:rsidRPr="00E20E1C" w:rsidRDefault="00E20E1C" w:rsidP="00127934">
      <w:pPr>
        <w:pStyle w:val="NormalWeb"/>
        <w:numPr>
          <w:ilvl w:val="0"/>
          <w:numId w:val="53"/>
        </w:numPr>
        <w:rPr>
          <w:sz w:val="22"/>
          <w:szCs w:val="22"/>
        </w:rPr>
      </w:pPr>
      <w:r w:rsidRPr="00E20E1C">
        <w:rPr>
          <w:rStyle w:val="Strong"/>
          <w:rFonts w:eastAsiaTheme="majorEastAsia"/>
          <w:sz w:val="22"/>
          <w:szCs w:val="22"/>
        </w:rPr>
        <w:t>Net loss (GAAP)</w:t>
      </w:r>
      <w:r w:rsidRPr="00E20E1C">
        <w:rPr>
          <w:sz w:val="22"/>
          <w:szCs w:val="22"/>
        </w:rPr>
        <w:t>: $160.8 million, mainly due to non-cash impairments tied to U.K. operations (Alexander Dennis).</w:t>
      </w:r>
    </w:p>
    <w:p w14:paraId="206C5AF6" w14:textId="77777777" w:rsidR="00E20E1C" w:rsidRPr="00E20E1C" w:rsidRDefault="00E20E1C" w:rsidP="00E20E1C">
      <w:pPr>
        <w:pStyle w:val="NormalWeb"/>
        <w:rPr>
          <w:sz w:val="22"/>
          <w:szCs w:val="22"/>
        </w:rPr>
      </w:pPr>
      <w:r w:rsidRPr="00E20E1C">
        <w:rPr>
          <w:rStyle w:val="Strong"/>
          <w:rFonts w:eastAsiaTheme="majorEastAsia"/>
          <w:sz w:val="22"/>
          <w:szCs w:val="22"/>
        </w:rPr>
        <w:t>Operational Highlights</w:t>
      </w:r>
    </w:p>
    <w:p w14:paraId="77EA6528" w14:textId="77777777" w:rsidR="00E20E1C" w:rsidRPr="00E20E1C" w:rsidRDefault="00E20E1C" w:rsidP="00127934">
      <w:pPr>
        <w:pStyle w:val="NormalWeb"/>
        <w:numPr>
          <w:ilvl w:val="0"/>
          <w:numId w:val="54"/>
        </w:numPr>
        <w:rPr>
          <w:sz w:val="22"/>
          <w:szCs w:val="22"/>
        </w:rPr>
      </w:pPr>
      <w:r w:rsidRPr="00E20E1C">
        <w:rPr>
          <w:sz w:val="22"/>
          <w:szCs w:val="22"/>
        </w:rPr>
        <w:lastRenderedPageBreak/>
        <w:t>Delivered 822 new EUs in Q2, 95% of which were firm orders—indicating persistent transit sector strength.</w:t>
      </w:r>
    </w:p>
    <w:p w14:paraId="7637AEE8" w14:textId="77777777" w:rsidR="00E20E1C" w:rsidRPr="00E20E1C" w:rsidRDefault="00E20E1C" w:rsidP="00127934">
      <w:pPr>
        <w:pStyle w:val="NormalWeb"/>
        <w:numPr>
          <w:ilvl w:val="0"/>
          <w:numId w:val="54"/>
        </w:numPr>
        <w:rPr>
          <w:sz w:val="22"/>
          <w:szCs w:val="22"/>
        </w:rPr>
      </w:pPr>
      <w:r w:rsidRPr="00E20E1C">
        <w:rPr>
          <w:sz w:val="22"/>
          <w:szCs w:val="22"/>
        </w:rPr>
        <w:t xml:space="preserve">Backlog of 16,198 EUs (38% firm, 62% options), representing </w:t>
      </w:r>
      <w:r w:rsidRPr="00E20E1C">
        <w:rPr>
          <w:rStyle w:val="Strong"/>
          <w:rFonts w:eastAsiaTheme="majorEastAsia"/>
          <w:sz w:val="22"/>
          <w:szCs w:val="22"/>
        </w:rPr>
        <w:t>$13.5 billion in total contract value</w:t>
      </w:r>
      <w:r w:rsidRPr="00E20E1C">
        <w:rPr>
          <w:sz w:val="22"/>
          <w:szCs w:val="22"/>
        </w:rPr>
        <w:t>, with production slots sold into 2026.</w:t>
      </w:r>
    </w:p>
    <w:p w14:paraId="513DF264" w14:textId="77777777" w:rsidR="00E20E1C" w:rsidRPr="00E20E1C" w:rsidRDefault="00E20E1C" w:rsidP="00127934">
      <w:pPr>
        <w:pStyle w:val="NormalWeb"/>
        <w:numPr>
          <w:ilvl w:val="0"/>
          <w:numId w:val="54"/>
        </w:numPr>
        <w:rPr>
          <w:sz w:val="22"/>
          <w:szCs w:val="22"/>
        </w:rPr>
      </w:pPr>
      <w:r w:rsidRPr="00E20E1C">
        <w:rPr>
          <w:sz w:val="22"/>
          <w:szCs w:val="22"/>
        </w:rPr>
        <w:t xml:space="preserve">U.S. production—particularly at </w:t>
      </w:r>
      <w:r w:rsidRPr="00E20E1C">
        <w:rPr>
          <w:rStyle w:val="Strong"/>
          <w:rFonts w:eastAsiaTheme="majorEastAsia"/>
          <w:sz w:val="22"/>
          <w:szCs w:val="22"/>
        </w:rPr>
        <w:t>Anniston, AL</w:t>
      </w:r>
      <w:r w:rsidRPr="00E20E1C">
        <w:rPr>
          <w:sz w:val="22"/>
          <w:szCs w:val="22"/>
        </w:rPr>
        <w:t>—benefited from:</w:t>
      </w:r>
    </w:p>
    <w:p w14:paraId="5088C6C3" w14:textId="77777777" w:rsidR="00E20E1C" w:rsidRPr="00E20E1C" w:rsidRDefault="00E20E1C" w:rsidP="00127934">
      <w:pPr>
        <w:pStyle w:val="NormalWeb"/>
        <w:numPr>
          <w:ilvl w:val="1"/>
          <w:numId w:val="54"/>
        </w:numPr>
        <w:rPr>
          <w:sz w:val="22"/>
          <w:szCs w:val="22"/>
        </w:rPr>
      </w:pPr>
      <w:r w:rsidRPr="00E20E1C">
        <w:rPr>
          <w:sz w:val="22"/>
          <w:szCs w:val="22"/>
        </w:rPr>
        <w:t xml:space="preserve">Strength in </w:t>
      </w:r>
      <w:r w:rsidRPr="00E20E1C">
        <w:rPr>
          <w:rStyle w:val="Strong"/>
          <w:rFonts w:eastAsiaTheme="majorEastAsia"/>
          <w:sz w:val="22"/>
          <w:szCs w:val="22"/>
        </w:rPr>
        <w:t>Buy America-compliant orders</w:t>
      </w:r>
    </w:p>
    <w:p w14:paraId="2A3DF7EA" w14:textId="77777777" w:rsidR="00E20E1C" w:rsidRPr="00E20E1C" w:rsidRDefault="00E20E1C" w:rsidP="00127934">
      <w:pPr>
        <w:pStyle w:val="NormalWeb"/>
        <w:numPr>
          <w:ilvl w:val="1"/>
          <w:numId w:val="54"/>
        </w:numPr>
        <w:rPr>
          <w:sz w:val="22"/>
          <w:szCs w:val="22"/>
        </w:rPr>
      </w:pPr>
      <w:r w:rsidRPr="00E20E1C">
        <w:rPr>
          <w:sz w:val="22"/>
          <w:szCs w:val="22"/>
        </w:rPr>
        <w:t xml:space="preserve">Reduced WIP thanks to improving </w:t>
      </w:r>
      <w:r w:rsidRPr="00E20E1C">
        <w:rPr>
          <w:rStyle w:val="Strong"/>
          <w:rFonts w:eastAsiaTheme="majorEastAsia"/>
          <w:sz w:val="22"/>
          <w:szCs w:val="22"/>
        </w:rPr>
        <w:t>seat supply</w:t>
      </w:r>
    </w:p>
    <w:p w14:paraId="265C9404" w14:textId="77777777" w:rsidR="00E20E1C" w:rsidRPr="00E20E1C" w:rsidRDefault="00E20E1C" w:rsidP="00127934">
      <w:pPr>
        <w:pStyle w:val="NormalWeb"/>
        <w:numPr>
          <w:ilvl w:val="1"/>
          <w:numId w:val="54"/>
        </w:numPr>
        <w:rPr>
          <w:sz w:val="22"/>
          <w:szCs w:val="22"/>
        </w:rPr>
      </w:pPr>
      <w:r w:rsidRPr="00E20E1C">
        <w:rPr>
          <w:sz w:val="22"/>
          <w:szCs w:val="22"/>
        </w:rPr>
        <w:t>Expanded access to milestone-based contract payments</w:t>
      </w:r>
    </w:p>
    <w:p w14:paraId="48A72649" w14:textId="77777777" w:rsidR="00E20E1C" w:rsidRPr="00E20E1C" w:rsidRDefault="00E20E1C" w:rsidP="00127934">
      <w:pPr>
        <w:pStyle w:val="NormalWeb"/>
        <w:numPr>
          <w:ilvl w:val="0"/>
          <w:numId w:val="54"/>
        </w:numPr>
        <w:rPr>
          <w:sz w:val="22"/>
          <w:szCs w:val="22"/>
        </w:rPr>
      </w:pPr>
      <w:r w:rsidRPr="00E20E1C">
        <w:rPr>
          <w:rStyle w:val="Strong"/>
          <w:rFonts w:eastAsiaTheme="majorEastAsia"/>
          <w:sz w:val="22"/>
          <w:szCs w:val="22"/>
        </w:rPr>
        <w:t>Seat supply bottlenecks</w:t>
      </w:r>
      <w:r w:rsidRPr="00E20E1C">
        <w:rPr>
          <w:sz w:val="22"/>
          <w:szCs w:val="22"/>
        </w:rPr>
        <w:t>, which had previously stalled 200+ units, are down to 56 unfinished buses—a significant reduction from the November 2024 peak.</w:t>
      </w:r>
    </w:p>
    <w:p w14:paraId="4F748746" w14:textId="77777777" w:rsidR="00E20E1C" w:rsidRPr="00E20E1C" w:rsidRDefault="00E20E1C" w:rsidP="00127934">
      <w:pPr>
        <w:pStyle w:val="NormalWeb"/>
        <w:numPr>
          <w:ilvl w:val="0"/>
          <w:numId w:val="54"/>
        </w:numPr>
        <w:rPr>
          <w:sz w:val="22"/>
          <w:szCs w:val="22"/>
        </w:rPr>
      </w:pPr>
      <w:r w:rsidRPr="00E20E1C">
        <w:rPr>
          <w:sz w:val="22"/>
          <w:szCs w:val="22"/>
        </w:rPr>
        <w:t xml:space="preserve">New seat supplier (Buy America </w:t>
      </w:r>
      <w:proofErr w:type="gramStart"/>
      <w:r w:rsidRPr="00E20E1C">
        <w:rPr>
          <w:sz w:val="22"/>
          <w:szCs w:val="22"/>
        </w:rPr>
        <w:t>compliant</w:t>
      </w:r>
      <w:proofErr w:type="gramEnd"/>
      <w:r w:rsidRPr="00E20E1C">
        <w:rPr>
          <w:sz w:val="22"/>
          <w:szCs w:val="22"/>
        </w:rPr>
        <w:t>) is ramping up volumes, diversifying supply chain risk and improving build rates.</w:t>
      </w:r>
    </w:p>
    <w:p w14:paraId="44767094" w14:textId="77777777" w:rsidR="00E20E1C" w:rsidRPr="00E20E1C" w:rsidRDefault="00E20E1C" w:rsidP="00E20E1C">
      <w:pPr>
        <w:pStyle w:val="NormalWeb"/>
        <w:rPr>
          <w:sz w:val="22"/>
          <w:szCs w:val="22"/>
        </w:rPr>
      </w:pPr>
      <w:r w:rsidRPr="00E20E1C">
        <w:rPr>
          <w:rStyle w:val="Strong"/>
          <w:rFonts w:eastAsiaTheme="majorEastAsia"/>
          <w:sz w:val="22"/>
          <w:szCs w:val="22"/>
        </w:rPr>
        <w:t>Business Expansions &amp; Capital Expenditure Plans</w:t>
      </w:r>
    </w:p>
    <w:p w14:paraId="0EC9CA0A" w14:textId="77777777" w:rsidR="00E20E1C" w:rsidRPr="00E20E1C" w:rsidRDefault="00E20E1C" w:rsidP="00127934">
      <w:pPr>
        <w:pStyle w:val="NormalWeb"/>
        <w:numPr>
          <w:ilvl w:val="0"/>
          <w:numId w:val="55"/>
        </w:numPr>
        <w:rPr>
          <w:sz w:val="22"/>
          <w:szCs w:val="22"/>
        </w:rPr>
      </w:pPr>
      <w:r w:rsidRPr="00E20E1C">
        <w:rPr>
          <w:rStyle w:val="Strong"/>
          <w:rFonts w:eastAsiaTheme="majorEastAsia"/>
          <w:sz w:val="22"/>
          <w:szCs w:val="22"/>
        </w:rPr>
        <w:t>Refinanced</w:t>
      </w:r>
      <w:r w:rsidRPr="00E20E1C">
        <w:rPr>
          <w:sz w:val="22"/>
          <w:szCs w:val="22"/>
        </w:rPr>
        <w:t xml:space="preserve"> $1.3 billion in debt across North America and the U.K. during the quarter:</w:t>
      </w:r>
    </w:p>
    <w:p w14:paraId="6E58A72A" w14:textId="77777777" w:rsidR="00E20E1C" w:rsidRPr="00E20E1C" w:rsidRDefault="00E20E1C" w:rsidP="00127934">
      <w:pPr>
        <w:pStyle w:val="NormalWeb"/>
        <w:numPr>
          <w:ilvl w:val="1"/>
          <w:numId w:val="55"/>
        </w:numPr>
        <w:rPr>
          <w:sz w:val="22"/>
          <w:szCs w:val="22"/>
        </w:rPr>
      </w:pPr>
      <w:r w:rsidRPr="00E20E1C">
        <w:rPr>
          <w:sz w:val="22"/>
          <w:szCs w:val="22"/>
        </w:rPr>
        <w:t>New 4-year $700M First Lien facility</w:t>
      </w:r>
    </w:p>
    <w:p w14:paraId="5A11E5AD" w14:textId="77777777" w:rsidR="00E20E1C" w:rsidRPr="00E20E1C" w:rsidRDefault="00E20E1C" w:rsidP="00127934">
      <w:pPr>
        <w:pStyle w:val="NormalWeb"/>
        <w:numPr>
          <w:ilvl w:val="1"/>
          <w:numId w:val="55"/>
        </w:numPr>
        <w:rPr>
          <w:sz w:val="22"/>
          <w:szCs w:val="22"/>
        </w:rPr>
      </w:pPr>
      <w:r w:rsidRPr="00E20E1C">
        <w:rPr>
          <w:sz w:val="22"/>
          <w:szCs w:val="22"/>
        </w:rPr>
        <w:t>New 5-year $600M Second Lien Notes (high-yield debut in U.S. market)</w:t>
      </w:r>
    </w:p>
    <w:p w14:paraId="7BA4FB94" w14:textId="77777777" w:rsidR="00E20E1C" w:rsidRPr="00E20E1C" w:rsidRDefault="00E20E1C" w:rsidP="00127934">
      <w:pPr>
        <w:pStyle w:val="NormalWeb"/>
        <w:numPr>
          <w:ilvl w:val="0"/>
          <w:numId w:val="55"/>
        </w:numPr>
        <w:rPr>
          <w:sz w:val="22"/>
          <w:szCs w:val="22"/>
        </w:rPr>
      </w:pPr>
      <w:r w:rsidRPr="00E20E1C">
        <w:rPr>
          <w:sz w:val="22"/>
          <w:szCs w:val="22"/>
        </w:rPr>
        <w:t>These moves resulted in:</w:t>
      </w:r>
    </w:p>
    <w:p w14:paraId="035465E3" w14:textId="77777777" w:rsidR="00E20E1C" w:rsidRPr="00E20E1C" w:rsidRDefault="00E20E1C" w:rsidP="00127934">
      <w:pPr>
        <w:pStyle w:val="NormalWeb"/>
        <w:numPr>
          <w:ilvl w:val="1"/>
          <w:numId w:val="55"/>
        </w:numPr>
        <w:rPr>
          <w:sz w:val="22"/>
          <w:szCs w:val="22"/>
        </w:rPr>
      </w:pPr>
      <w:r w:rsidRPr="00E20E1C">
        <w:rPr>
          <w:sz w:val="22"/>
          <w:szCs w:val="22"/>
        </w:rPr>
        <w:t>Improved interest coverage and lower interest expense</w:t>
      </w:r>
    </w:p>
    <w:p w14:paraId="57D57886" w14:textId="77777777" w:rsidR="00E20E1C" w:rsidRPr="00E20E1C" w:rsidRDefault="00E20E1C" w:rsidP="00127934">
      <w:pPr>
        <w:pStyle w:val="NormalWeb"/>
        <w:numPr>
          <w:ilvl w:val="1"/>
          <w:numId w:val="55"/>
        </w:numPr>
        <w:rPr>
          <w:sz w:val="22"/>
          <w:szCs w:val="22"/>
        </w:rPr>
      </w:pPr>
      <w:r w:rsidRPr="00E20E1C">
        <w:rPr>
          <w:sz w:val="22"/>
          <w:szCs w:val="22"/>
        </w:rPr>
        <w:t>Simplified capital structure</w:t>
      </w:r>
    </w:p>
    <w:p w14:paraId="337D9C54" w14:textId="77777777" w:rsidR="00E20E1C" w:rsidRPr="00E20E1C" w:rsidRDefault="00E20E1C" w:rsidP="00127934">
      <w:pPr>
        <w:pStyle w:val="NormalWeb"/>
        <w:numPr>
          <w:ilvl w:val="1"/>
          <w:numId w:val="55"/>
        </w:numPr>
        <w:rPr>
          <w:sz w:val="22"/>
          <w:szCs w:val="22"/>
        </w:rPr>
      </w:pPr>
      <w:r w:rsidRPr="00E20E1C">
        <w:rPr>
          <w:sz w:val="22"/>
          <w:szCs w:val="22"/>
        </w:rPr>
        <w:t>Greater long-term flexibility to support expansion and working capital</w:t>
      </w:r>
    </w:p>
    <w:p w14:paraId="74E2FF5B" w14:textId="77777777" w:rsidR="00E20E1C" w:rsidRPr="00E20E1C" w:rsidRDefault="00E20E1C" w:rsidP="00127934">
      <w:pPr>
        <w:pStyle w:val="NormalWeb"/>
        <w:numPr>
          <w:ilvl w:val="0"/>
          <w:numId w:val="55"/>
        </w:numPr>
        <w:rPr>
          <w:sz w:val="22"/>
          <w:szCs w:val="22"/>
        </w:rPr>
      </w:pPr>
      <w:r w:rsidRPr="00E20E1C">
        <w:rPr>
          <w:sz w:val="22"/>
          <w:szCs w:val="22"/>
        </w:rPr>
        <w:t xml:space="preserve">Although no Alabama-specific </w:t>
      </w:r>
      <w:proofErr w:type="spellStart"/>
      <w:r w:rsidRPr="00E20E1C">
        <w:rPr>
          <w:sz w:val="22"/>
          <w:szCs w:val="22"/>
        </w:rPr>
        <w:t>CapEx</w:t>
      </w:r>
      <w:proofErr w:type="spellEnd"/>
      <w:r w:rsidRPr="00E20E1C">
        <w:rPr>
          <w:sz w:val="22"/>
          <w:szCs w:val="22"/>
        </w:rPr>
        <w:t xml:space="preserve"> was broken out, the Anniston plant is central to execution of firm backlog into 2026 and remains a </w:t>
      </w:r>
      <w:r w:rsidRPr="00E20E1C">
        <w:rPr>
          <w:rStyle w:val="Strong"/>
          <w:rFonts w:eastAsiaTheme="majorEastAsia"/>
          <w:sz w:val="22"/>
          <w:szCs w:val="22"/>
        </w:rPr>
        <w:t>core production hub</w:t>
      </w:r>
      <w:r w:rsidRPr="00E20E1C">
        <w:rPr>
          <w:sz w:val="22"/>
          <w:szCs w:val="22"/>
        </w:rPr>
        <w:t>.</w:t>
      </w:r>
    </w:p>
    <w:p w14:paraId="436B32C8" w14:textId="77777777" w:rsidR="00E20E1C" w:rsidRPr="00E20E1C" w:rsidRDefault="00E20E1C" w:rsidP="00E20E1C">
      <w:pPr>
        <w:pStyle w:val="NormalWeb"/>
        <w:rPr>
          <w:sz w:val="22"/>
          <w:szCs w:val="22"/>
        </w:rPr>
      </w:pPr>
      <w:r w:rsidRPr="00E20E1C">
        <w:rPr>
          <w:rStyle w:val="Strong"/>
          <w:rFonts w:eastAsiaTheme="majorEastAsia"/>
          <w:sz w:val="22"/>
          <w:szCs w:val="22"/>
        </w:rPr>
        <w:t>Segment Performance &amp; Outlook</w:t>
      </w:r>
    </w:p>
    <w:p w14:paraId="0287EBB7" w14:textId="77777777" w:rsidR="00E20E1C" w:rsidRPr="00E20E1C" w:rsidRDefault="00E20E1C" w:rsidP="00127934">
      <w:pPr>
        <w:pStyle w:val="NormalWeb"/>
        <w:numPr>
          <w:ilvl w:val="0"/>
          <w:numId w:val="56"/>
        </w:numPr>
        <w:rPr>
          <w:sz w:val="22"/>
          <w:szCs w:val="22"/>
        </w:rPr>
      </w:pPr>
      <w:r w:rsidRPr="00E20E1C">
        <w:rPr>
          <w:rStyle w:val="Strong"/>
          <w:rFonts w:eastAsiaTheme="majorEastAsia"/>
          <w:sz w:val="22"/>
          <w:szCs w:val="22"/>
        </w:rPr>
        <w:t>Manufacturing</w:t>
      </w:r>
      <w:r w:rsidRPr="00E20E1C">
        <w:rPr>
          <w:sz w:val="22"/>
          <w:szCs w:val="22"/>
        </w:rPr>
        <w:t>:</w:t>
      </w:r>
    </w:p>
    <w:p w14:paraId="336A82C7" w14:textId="77777777" w:rsidR="00E20E1C" w:rsidRPr="00E20E1C" w:rsidRDefault="00E20E1C" w:rsidP="00127934">
      <w:pPr>
        <w:pStyle w:val="NormalWeb"/>
        <w:numPr>
          <w:ilvl w:val="1"/>
          <w:numId w:val="56"/>
        </w:numPr>
        <w:rPr>
          <w:sz w:val="22"/>
          <w:szCs w:val="22"/>
        </w:rPr>
      </w:pPr>
      <w:r w:rsidRPr="00E20E1C">
        <w:rPr>
          <w:sz w:val="22"/>
          <w:szCs w:val="22"/>
        </w:rPr>
        <w:t xml:space="preserve">Segment EBITDA up </w:t>
      </w:r>
      <w:r w:rsidRPr="00E20E1C">
        <w:rPr>
          <w:rStyle w:val="Strong"/>
          <w:rFonts w:eastAsiaTheme="majorEastAsia"/>
          <w:sz w:val="22"/>
          <w:szCs w:val="22"/>
        </w:rPr>
        <w:t>$18.6 million YoY</w:t>
      </w:r>
    </w:p>
    <w:p w14:paraId="1827E816" w14:textId="77777777" w:rsidR="00E20E1C" w:rsidRPr="00E20E1C" w:rsidRDefault="00E20E1C" w:rsidP="00127934">
      <w:pPr>
        <w:pStyle w:val="NormalWeb"/>
        <w:numPr>
          <w:ilvl w:val="1"/>
          <w:numId w:val="56"/>
        </w:numPr>
        <w:rPr>
          <w:sz w:val="22"/>
          <w:szCs w:val="22"/>
        </w:rPr>
      </w:pPr>
      <w:r w:rsidRPr="00E20E1C">
        <w:rPr>
          <w:sz w:val="22"/>
          <w:szCs w:val="22"/>
        </w:rPr>
        <w:t xml:space="preserve">Gross margin improved from </w:t>
      </w:r>
      <w:r w:rsidRPr="00E20E1C">
        <w:rPr>
          <w:rStyle w:val="Strong"/>
          <w:rFonts w:eastAsiaTheme="majorEastAsia"/>
          <w:sz w:val="22"/>
          <w:szCs w:val="22"/>
        </w:rPr>
        <w:t>8.0% to 10.6%</w:t>
      </w:r>
    </w:p>
    <w:p w14:paraId="4DFF4BAA" w14:textId="77777777" w:rsidR="00E20E1C" w:rsidRPr="00E20E1C" w:rsidRDefault="00E20E1C" w:rsidP="00127934">
      <w:pPr>
        <w:pStyle w:val="NormalWeb"/>
        <w:numPr>
          <w:ilvl w:val="1"/>
          <w:numId w:val="56"/>
        </w:numPr>
        <w:rPr>
          <w:sz w:val="22"/>
          <w:szCs w:val="22"/>
        </w:rPr>
      </w:pPr>
      <w:r w:rsidRPr="00E20E1C">
        <w:rPr>
          <w:sz w:val="22"/>
          <w:szCs w:val="22"/>
        </w:rPr>
        <w:t>Strong ASP growth: +27% YoY for transit buses, +20% for coaches</w:t>
      </w:r>
    </w:p>
    <w:p w14:paraId="56069106" w14:textId="77777777" w:rsidR="00E20E1C" w:rsidRPr="00E20E1C" w:rsidRDefault="00E20E1C" w:rsidP="00127934">
      <w:pPr>
        <w:pStyle w:val="NormalWeb"/>
        <w:numPr>
          <w:ilvl w:val="1"/>
          <w:numId w:val="56"/>
        </w:numPr>
        <w:rPr>
          <w:sz w:val="22"/>
          <w:szCs w:val="22"/>
        </w:rPr>
      </w:pPr>
      <w:r w:rsidRPr="00E20E1C">
        <w:rPr>
          <w:sz w:val="22"/>
          <w:szCs w:val="22"/>
        </w:rPr>
        <w:t>Improved sales mix, higher-priced contracts from 2023–2024 now flowing into revenue</w:t>
      </w:r>
    </w:p>
    <w:p w14:paraId="54F66BF8" w14:textId="77777777" w:rsidR="00E20E1C" w:rsidRPr="00E20E1C" w:rsidRDefault="00E20E1C" w:rsidP="00127934">
      <w:pPr>
        <w:pStyle w:val="NormalWeb"/>
        <w:numPr>
          <w:ilvl w:val="1"/>
          <w:numId w:val="56"/>
        </w:numPr>
        <w:rPr>
          <w:sz w:val="22"/>
          <w:szCs w:val="22"/>
        </w:rPr>
      </w:pPr>
      <w:r w:rsidRPr="00E20E1C">
        <w:rPr>
          <w:sz w:val="22"/>
          <w:szCs w:val="22"/>
        </w:rPr>
        <w:t>U.S. operations including Anniston expected to benefit as these high-margin contracts dominate H2 2025 output</w:t>
      </w:r>
    </w:p>
    <w:p w14:paraId="0C98EC4D" w14:textId="77777777" w:rsidR="00E20E1C" w:rsidRPr="00E20E1C" w:rsidRDefault="00E20E1C" w:rsidP="00127934">
      <w:pPr>
        <w:pStyle w:val="NormalWeb"/>
        <w:numPr>
          <w:ilvl w:val="0"/>
          <w:numId w:val="56"/>
        </w:numPr>
        <w:rPr>
          <w:sz w:val="22"/>
          <w:szCs w:val="22"/>
        </w:rPr>
      </w:pPr>
      <w:r w:rsidRPr="00E20E1C">
        <w:rPr>
          <w:rStyle w:val="Strong"/>
          <w:rFonts w:eastAsiaTheme="majorEastAsia"/>
          <w:sz w:val="22"/>
          <w:szCs w:val="22"/>
        </w:rPr>
        <w:t>Aftermarket</w:t>
      </w:r>
      <w:r w:rsidRPr="00E20E1C">
        <w:rPr>
          <w:sz w:val="22"/>
          <w:szCs w:val="22"/>
        </w:rPr>
        <w:t>:</w:t>
      </w:r>
    </w:p>
    <w:p w14:paraId="61AE0C54" w14:textId="77777777" w:rsidR="00E20E1C" w:rsidRPr="00E20E1C" w:rsidRDefault="00E20E1C" w:rsidP="00127934">
      <w:pPr>
        <w:pStyle w:val="NormalWeb"/>
        <w:numPr>
          <w:ilvl w:val="1"/>
          <w:numId w:val="56"/>
        </w:numPr>
        <w:rPr>
          <w:sz w:val="22"/>
          <w:szCs w:val="22"/>
        </w:rPr>
      </w:pPr>
      <w:r w:rsidRPr="00E20E1C">
        <w:rPr>
          <w:sz w:val="22"/>
          <w:szCs w:val="22"/>
        </w:rPr>
        <w:t>Segment revenue slightly down due to reduced North American program retrofits</w:t>
      </w:r>
    </w:p>
    <w:p w14:paraId="6D1BE1DB" w14:textId="77777777" w:rsidR="00E20E1C" w:rsidRPr="00E20E1C" w:rsidRDefault="00E20E1C" w:rsidP="00127934">
      <w:pPr>
        <w:pStyle w:val="NormalWeb"/>
        <w:numPr>
          <w:ilvl w:val="1"/>
          <w:numId w:val="56"/>
        </w:numPr>
        <w:rPr>
          <w:sz w:val="22"/>
          <w:szCs w:val="22"/>
        </w:rPr>
      </w:pPr>
      <w:r w:rsidRPr="00E20E1C">
        <w:rPr>
          <w:sz w:val="22"/>
          <w:szCs w:val="22"/>
        </w:rPr>
        <w:t>Gross margin at 26.4%, still historically strong</w:t>
      </w:r>
    </w:p>
    <w:p w14:paraId="61B48B9D" w14:textId="77777777" w:rsidR="00E20E1C" w:rsidRPr="00E20E1C" w:rsidRDefault="00E20E1C" w:rsidP="00127934">
      <w:pPr>
        <w:pStyle w:val="NormalWeb"/>
        <w:numPr>
          <w:ilvl w:val="1"/>
          <w:numId w:val="56"/>
        </w:numPr>
        <w:rPr>
          <w:sz w:val="22"/>
          <w:szCs w:val="22"/>
        </w:rPr>
      </w:pPr>
      <w:r w:rsidRPr="00E20E1C">
        <w:rPr>
          <w:sz w:val="22"/>
          <w:szCs w:val="22"/>
        </w:rPr>
        <w:t xml:space="preserve">Recurring revenue and parts support from installed fleet </w:t>
      </w:r>
      <w:proofErr w:type="gramStart"/>
      <w:r w:rsidRPr="00E20E1C">
        <w:rPr>
          <w:sz w:val="22"/>
          <w:szCs w:val="22"/>
        </w:rPr>
        <w:t>remain</w:t>
      </w:r>
      <w:proofErr w:type="gramEnd"/>
      <w:r w:rsidRPr="00E20E1C">
        <w:rPr>
          <w:sz w:val="22"/>
          <w:szCs w:val="22"/>
        </w:rPr>
        <w:t xml:space="preserve"> a </w:t>
      </w:r>
      <w:r w:rsidRPr="00E20E1C">
        <w:rPr>
          <w:rStyle w:val="Strong"/>
          <w:rFonts w:eastAsiaTheme="majorEastAsia"/>
          <w:sz w:val="22"/>
          <w:szCs w:val="22"/>
        </w:rPr>
        <w:t>solid cash contributor</w:t>
      </w:r>
    </w:p>
    <w:p w14:paraId="665CE604" w14:textId="77777777" w:rsidR="00E20E1C" w:rsidRPr="00E20E1C" w:rsidRDefault="00E20E1C" w:rsidP="00127934">
      <w:pPr>
        <w:pStyle w:val="NormalWeb"/>
        <w:numPr>
          <w:ilvl w:val="0"/>
          <w:numId w:val="56"/>
        </w:numPr>
        <w:rPr>
          <w:sz w:val="22"/>
          <w:szCs w:val="22"/>
        </w:rPr>
      </w:pPr>
      <w:r w:rsidRPr="00E20E1C">
        <w:rPr>
          <w:rStyle w:val="Strong"/>
          <w:rFonts w:eastAsiaTheme="majorEastAsia"/>
          <w:sz w:val="22"/>
          <w:szCs w:val="22"/>
        </w:rPr>
        <w:t>Outlook</w:t>
      </w:r>
      <w:r w:rsidRPr="00E20E1C">
        <w:rPr>
          <w:sz w:val="22"/>
          <w:szCs w:val="22"/>
        </w:rPr>
        <w:t>:</w:t>
      </w:r>
    </w:p>
    <w:p w14:paraId="14F11B72" w14:textId="77777777" w:rsidR="00E20E1C" w:rsidRPr="00E20E1C" w:rsidRDefault="00E20E1C" w:rsidP="00127934">
      <w:pPr>
        <w:pStyle w:val="NormalWeb"/>
        <w:numPr>
          <w:ilvl w:val="1"/>
          <w:numId w:val="56"/>
        </w:numPr>
        <w:rPr>
          <w:sz w:val="22"/>
          <w:szCs w:val="22"/>
        </w:rPr>
      </w:pPr>
      <w:r w:rsidRPr="00E20E1C">
        <w:rPr>
          <w:rStyle w:val="Strong"/>
          <w:rFonts w:eastAsiaTheme="majorEastAsia"/>
          <w:sz w:val="22"/>
          <w:szCs w:val="22"/>
        </w:rPr>
        <w:t>FY2025 guidance reaffirmed</w:t>
      </w:r>
      <w:r w:rsidRPr="00E20E1C">
        <w:rPr>
          <w:sz w:val="22"/>
          <w:szCs w:val="22"/>
        </w:rPr>
        <w:t>:</w:t>
      </w:r>
    </w:p>
    <w:p w14:paraId="00B69ECA" w14:textId="77777777" w:rsidR="00E20E1C" w:rsidRPr="00E20E1C" w:rsidRDefault="00E20E1C" w:rsidP="00127934">
      <w:pPr>
        <w:pStyle w:val="NormalWeb"/>
        <w:numPr>
          <w:ilvl w:val="2"/>
          <w:numId w:val="56"/>
        </w:numPr>
        <w:rPr>
          <w:sz w:val="22"/>
          <w:szCs w:val="22"/>
        </w:rPr>
      </w:pPr>
      <w:r w:rsidRPr="00E20E1C">
        <w:rPr>
          <w:sz w:val="22"/>
          <w:szCs w:val="22"/>
        </w:rPr>
        <w:t>Revenue: $3.8–4.2 billion</w:t>
      </w:r>
    </w:p>
    <w:p w14:paraId="78F64B99" w14:textId="77777777" w:rsidR="00E20E1C" w:rsidRPr="00E20E1C" w:rsidRDefault="00E20E1C" w:rsidP="00127934">
      <w:pPr>
        <w:pStyle w:val="NormalWeb"/>
        <w:numPr>
          <w:ilvl w:val="2"/>
          <w:numId w:val="56"/>
        </w:numPr>
        <w:rPr>
          <w:sz w:val="22"/>
          <w:szCs w:val="22"/>
        </w:rPr>
      </w:pPr>
      <w:r w:rsidRPr="00E20E1C">
        <w:rPr>
          <w:sz w:val="22"/>
          <w:szCs w:val="22"/>
        </w:rPr>
        <w:t>Adjusted EBITDA: $320–360 million</w:t>
      </w:r>
    </w:p>
    <w:p w14:paraId="1BBF30D6" w14:textId="77777777" w:rsidR="00E20E1C" w:rsidRPr="00E20E1C" w:rsidRDefault="00E20E1C" w:rsidP="00127934">
      <w:pPr>
        <w:pStyle w:val="NormalWeb"/>
        <w:numPr>
          <w:ilvl w:val="1"/>
          <w:numId w:val="56"/>
        </w:numPr>
        <w:rPr>
          <w:sz w:val="22"/>
          <w:szCs w:val="22"/>
        </w:rPr>
      </w:pPr>
      <w:r w:rsidRPr="00E20E1C">
        <w:rPr>
          <w:sz w:val="22"/>
          <w:szCs w:val="22"/>
        </w:rPr>
        <w:t xml:space="preserve">More than </w:t>
      </w:r>
      <w:r w:rsidRPr="00E20E1C">
        <w:rPr>
          <w:rStyle w:val="Strong"/>
          <w:rFonts w:eastAsiaTheme="majorEastAsia"/>
          <w:sz w:val="22"/>
          <w:szCs w:val="22"/>
        </w:rPr>
        <w:t>60% of adjusted EBITDA</w:t>
      </w:r>
      <w:r w:rsidRPr="00E20E1C">
        <w:rPr>
          <w:sz w:val="22"/>
          <w:szCs w:val="22"/>
        </w:rPr>
        <w:t xml:space="preserve"> expected in </w:t>
      </w:r>
      <w:r w:rsidRPr="00E20E1C">
        <w:rPr>
          <w:rStyle w:val="Strong"/>
          <w:rFonts w:eastAsiaTheme="majorEastAsia"/>
          <w:sz w:val="22"/>
          <w:szCs w:val="22"/>
        </w:rPr>
        <w:t>second half of 2025</w:t>
      </w:r>
      <w:r w:rsidRPr="00E20E1C">
        <w:rPr>
          <w:sz w:val="22"/>
          <w:szCs w:val="22"/>
        </w:rPr>
        <w:t>, driven by ramp-up in deliveries and reduced supply chain friction</w:t>
      </w:r>
    </w:p>
    <w:p w14:paraId="10C13153" w14:textId="77777777" w:rsidR="00E20E1C" w:rsidRPr="00E20E1C" w:rsidRDefault="00E20E1C" w:rsidP="00127934">
      <w:pPr>
        <w:pStyle w:val="NormalWeb"/>
        <w:numPr>
          <w:ilvl w:val="1"/>
          <w:numId w:val="56"/>
        </w:numPr>
        <w:rPr>
          <w:sz w:val="22"/>
          <w:szCs w:val="22"/>
        </w:rPr>
      </w:pPr>
      <w:r w:rsidRPr="00E20E1C">
        <w:rPr>
          <w:rStyle w:val="Strong"/>
          <w:rFonts w:eastAsiaTheme="majorEastAsia"/>
          <w:sz w:val="22"/>
          <w:szCs w:val="22"/>
        </w:rPr>
        <w:t>Anniston, AL facility</w:t>
      </w:r>
      <w:r w:rsidRPr="00E20E1C">
        <w:rPr>
          <w:sz w:val="22"/>
          <w:szCs w:val="22"/>
        </w:rPr>
        <w:t xml:space="preserve"> expected to remain critical in meeting 2025–2026 production commitments under U.S. federal and municipal funding programs</w:t>
      </w:r>
    </w:p>
    <w:p w14:paraId="5E8DFDBD" w14:textId="77777777" w:rsidR="00E20E1C" w:rsidRPr="00E20E1C" w:rsidRDefault="00E20E1C" w:rsidP="00127934">
      <w:pPr>
        <w:pStyle w:val="NormalWeb"/>
        <w:numPr>
          <w:ilvl w:val="1"/>
          <w:numId w:val="56"/>
        </w:numPr>
        <w:rPr>
          <w:sz w:val="22"/>
          <w:szCs w:val="22"/>
        </w:rPr>
      </w:pPr>
      <w:r w:rsidRPr="00E20E1C">
        <w:rPr>
          <w:sz w:val="22"/>
          <w:szCs w:val="22"/>
        </w:rPr>
        <w:t xml:space="preserve">Long-term demand outlook remains strong, with 5-year bid universe at </w:t>
      </w:r>
      <w:r w:rsidRPr="00E20E1C">
        <w:rPr>
          <w:rStyle w:val="Strong"/>
          <w:rFonts w:eastAsiaTheme="majorEastAsia"/>
          <w:sz w:val="22"/>
          <w:szCs w:val="22"/>
        </w:rPr>
        <w:t>22,769 EUs</w:t>
      </w:r>
      <w:r w:rsidRPr="00E20E1C">
        <w:rPr>
          <w:sz w:val="22"/>
          <w:szCs w:val="22"/>
        </w:rPr>
        <w:t xml:space="preserve"> supported by aging fleets and $20.6 billion in 2025 FTA apportionments</w:t>
      </w:r>
    </w:p>
    <w:p w14:paraId="5CAC53B5" w14:textId="71AB6F2F" w:rsidR="008B733A" w:rsidRPr="00BC0D8E" w:rsidRDefault="008B733A" w:rsidP="0227D82F">
      <w:pPr>
        <w:pStyle w:val="NormalWeb"/>
        <w:ind w:left="1440"/>
        <w:rPr>
          <w:sz w:val="22"/>
          <w:szCs w:val="22"/>
        </w:rPr>
      </w:pPr>
    </w:p>
    <w:p w14:paraId="3AD5C5E2" w14:textId="3A2C7F3A" w:rsidR="008B733A" w:rsidRPr="00BC0D8E" w:rsidRDefault="18AAA88B" w:rsidP="0227D82F">
      <w:pPr>
        <w:pStyle w:val="Heading2"/>
        <w:rPr>
          <w:rFonts w:cs="Times New Roman"/>
        </w:rPr>
      </w:pPr>
      <w:bookmarkStart w:id="71" w:name="_Toc212796761"/>
      <w:commentRangeStart w:id="72"/>
      <w:r w:rsidRPr="0227D82F">
        <w:rPr>
          <w:rFonts w:cs="Times New Roman"/>
        </w:rPr>
        <w:lastRenderedPageBreak/>
        <w:t>Nippon Steel Corporation (TSE: 5401)</w:t>
      </w:r>
      <w:commentRangeEnd w:id="72"/>
      <w:r w:rsidR="008B733A">
        <w:rPr>
          <w:rStyle w:val="CommentReference"/>
        </w:rPr>
        <w:commentReference w:id="72"/>
      </w:r>
      <w:bookmarkEnd w:id="71"/>
    </w:p>
    <w:p w14:paraId="2DBE22DF" w14:textId="7DFD2EEA" w:rsidR="008B733A" w:rsidRPr="00BC0D8E" w:rsidRDefault="18AAA88B" w:rsidP="0227D82F">
      <w:pPr>
        <w:pStyle w:val="Heading3"/>
        <w:rPr>
          <w:rFonts w:cs="Times New Roman"/>
        </w:rPr>
      </w:pPr>
      <w:bookmarkStart w:id="73" w:name="_Toc212796762"/>
      <w:r w:rsidRPr="0227D82F">
        <w:rPr>
          <w:rFonts w:cs="Times New Roman"/>
        </w:rPr>
        <w:t>Outlook: Neutral</w:t>
      </w:r>
      <w:bookmarkEnd w:id="73"/>
    </w:p>
    <w:p w14:paraId="561363FE" w14:textId="6254ADFD" w:rsidR="008B733A" w:rsidRPr="00BC0D8E" w:rsidRDefault="18AAA88B" w:rsidP="0227D82F">
      <w:pPr>
        <w:pStyle w:val="Heading3"/>
        <w:rPr>
          <w:rFonts w:cs="Times New Roman"/>
          <w:color w:val="00B050"/>
        </w:rPr>
      </w:pPr>
      <w:bookmarkStart w:id="74" w:name="_Toc212796763"/>
      <w:r w:rsidRPr="0227D82F">
        <w:rPr>
          <w:rFonts w:cs="Times New Roman"/>
        </w:rPr>
        <w:t>AL Outlook: Neutral</w:t>
      </w:r>
      <w:bookmarkEnd w:id="74"/>
    </w:p>
    <w:p w14:paraId="17E97595" w14:textId="7E3E04C8" w:rsidR="008B733A" w:rsidRPr="00BC0D8E" w:rsidRDefault="18AAA88B" w:rsidP="0227D82F">
      <w:pPr>
        <w:spacing w:before="240" w:after="240"/>
        <w:rPr>
          <w:rFonts w:ascii="Times New Roman" w:hAnsi="Times New Roman" w:cs="Times New Roman"/>
        </w:rPr>
      </w:pPr>
      <w:r w:rsidRPr="0227D82F">
        <w:rPr>
          <w:rFonts w:ascii="Times New Roman" w:hAnsi="Times New Roman" w:cs="Times New Roman"/>
          <w:b/>
          <w:bCs/>
        </w:rPr>
        <w:t>Recommended Action:</w:t>
      </w:r>
      <w:r w:rsidRPr="0227D82F">
        <w:rPr>
          <w:rFonts w:ascii="Times New Roman" w:hAnsi="Times New Roman" w:cs="Times New Roman"/>
        </w:rPr>
        <w:t xml:space="preserve"> </w:t>
      </w:r>
      <w:r w:rsidR="466A7346" w:rsidRPr="0227D82F">
        <w:rPr>
          <w:rFonts w:ascii="Times New Roman" w:hAnsi="Times New Roman" w:cs="Times New Roman"/>
        </w:rPr>
        <w:t xml:space="preserve">Monitor ongoing </w:t>
      </w:r>
      <w:proofErr w:type="spellStart"/>
      <w:r w:rsidR="466A7346" w:rsidRPr="0227D82F">
        <w:rPr>
          <w:rFonts w:ascii="Times New Roman" w:hAnsi="Times New Roman" w:cs="Times New Roman"/>
        </w:rPr>
        <w:t>acquistion</w:t>
      </w:r>
      <w:proofErr w:type="spellEnd"/>
      <w:r w:rsidR="466A7346" w:rsidRPr="0227D82F">
        <w:rPr>
          <w:rFonts w:ascii="Times New Roman" w:hAnsi="Times New Roman" w:cs="Times New Roman"/>
        </w:rPr>
        <w:t xml:space="preserve"> process.</w:t>
      </w:r>
    </w:p>
    <w:p w14:paraId="04AAF58D" w14:textId="68E11B86" w:rsidR="008B733A" w:rsidRPr="00BC0D8E" w:rsidRDefault="18AAA88B" w:rsidP="0227D82F">
      <w:pPr>
        <w:rPr>
          <w:rFonts w:ascii="Times New Roman" w:eastAsia="Times New Roman" w:hAnsi="Times New Roman" w:cs="Times New Roman"/>
        </w:rPr>
      </w:pPr>
      <w:r w:rsidRPr="0227D82F">
        <w:rPr>
          <w:rFonts w:ascii="Times New Roman" w:hAnsi="Times New Roman" w:cs="Times New Roman"/>
          <w:b/>
          <w:bCs/>
        </w:rPr>
        <w:t xml:space="preserve">Alabama Locations(s): </w:t>
      </w:r>
      <w:r w:rsidRPr="0227D82F">
        <w:rPr>
          <w:rFonts w:ascii="Times New Roman" w:eastAsia="Times New Roman" w:hAnsi="Times New Roman" w:cs="Times New Roman"/>
        </w:rPr>
        <w:t>Fairfield: Tubular Products Facility (Seamless pipe production)</w:t>
      </w:r>
    </w:p>
    <w:p w14:paraId="316FC928" w14:textId="4BE96D13" w:rsidR="008B733A" w:rsidRPr="00BC0D8E" w:rsidRDefault="18AAA88B" w:rsidP="0227D82F">
      <w:pPr>
        <w:rPr>
          <w:rFonts w:ascii="Times New Roman" w:eastAsia="Times New Roman" w:hAnsi="Times New Roman" w:cs="Times New Roman"/>
          <w:b/>
          <w:bCs/>
        </w:rPr>
      </w:pPr>
      <w:r w:rsidRPr="0227D82F">
        <w:rPr>
          <w:rFonts w:ascii="Times New Roman" w:eastAsia="Times New Roman" w:hAnsi="Times New Roman" w:cs="Times New Roman"/>
          <w:b/>
          <w:bCs/>
        </w:rPr>
        <w:t>Key Takeaways</w:t>
      </w:r>
    </w:p>
    <w:p w14:paraId="2E8F3799" w14:textId="67DAB79B" w:rsidR="008B733A" w:rsidRPr="00BC0D8E" w:rsidRDefault="18AAA88B" w:rsidP="00127934">
      <w:pPr>
        <w:pStyle w:val="ListParagraph"/>
        <w:numPr>
          <w:ilvl w:val="0"/>
          <w:numId w:val="121"/>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Nippon Steel emphasized that the </w:t>
      </w:r>
      <w:r w:rsidRPr="0227D82F">
        <w:rPr>
          <w:rFonts w:ascii="Times New Roman" w:eastAsia="Times New Roman" w:hAnsi="Times New Roman" w:cs="Times New Roman"/>
          <w:b/>
          <w:bCs/>
        </w:rPr>
        <w:t>acquisition of U.S. Steel (USS)</w:t>
      </w:r>
      <w:r w:rsidRPr="0227D82F">
        <w:rPr>
          <w:rFonts w:ascii="Times New Roman" w:eastAsia="Times New Roman" w:hAnsi="Times New Roman" w:cs="Times New Roman"/>
        </w:rPr>
        <w:t xml:space="preserve"> is the key to long-term growth, especially amid global steel overcapacity and macroeconomic strain.</w:t>
      </w:r>
    </w:p>
    <w:p w14:paraId="5012F22E" w14:textId="11E607E7" w:rsidR="008B733A" w:rsidRPr="00BC0D8E" w:rsidRDefault="18AAA88B" w:rsidP="00127934">
      <w:pPr>
        <w:pStyle w:val="ListParagraph"/>
        <w:numPr>
          <w:ilvl w:val="0"/>
          <w:numId w:val="121"/>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Leadership sees USS as essential to achieving their </w:t>
      </w:r>
      <w:r w:rsidRPr="0227D82F">
        <w:rPr>
          <w:rFonts w:ascii="Times New Roman" w:eastAsia="Times New Roman" w:hAnsi="Times New Roman" w:cs="Times New Roman"/>
          <w:b/>
          <w:bCs/>
        </w:rPr>
        <w:t>100 million tons production and JPY1 trillion profit vision</w:t>
      </w:r>
      <w:r w:rsidRPr="0227D82F">
        <w:rPr>
          <w:rFonts w:ascii="Times New Roman" w:eastAsia="Times New Roman" w:hAnsi="Times New Roman" w:cs="Times New Roman"/>
        </w:rPr>
        <w:t>.</w:t>
      </w:r>
    </w:p>
    <w:p w14:paraId="305BA74C" w14:textId="2A067A37" w:rsidR="008B733A" w:rsidRPr="00BC0D8E" w:rsidRDefault="18AAA88B" w:rsidP="00127934">
      <w:pPr>
        <w:pStyle w:val="ListParagraph"/>
        <w:numPr>
          <w:ilvl w:val="0"/>
          <w:numId w:val="121"/>
        </w:numPr>
        <w:spacing w:before="240" w:after="240"/>
        <w:rPr>
          <w:rFonts w:ascii="Times New Roman" w:eastAsia="Times New Roman" w:hAnsi="Times New Roman" w:cs="Times New Roman"/>
        </w:rPr>
      </w:pPr>
      <w:r w:rsidRPr="0227D82F">
        <w:rPr>
          <w:rFonts w:ascii="Times New Roman" w:eastAsia="Times New Roman" w:hAnsi="Times New Roman" w:cs="Times New Roman"/>
        </w:rPr>
        <w:t>Despite short-term integration costs, the company remains focused on USS's operational recovery and contribution.</w:t>
      </w:r>
    </w:p>
    <w:p w14:paraId="3DFB3D43" w14:textId="69048E79" w:rsidR="008B733A" w:rsidRPr="00BC0D8E" w:rsidRDefault="18AAA88B" w:rsidP="0227D82F">
      <w:pPr>
        <w:rPr>
          <w:rFonts w:ascii="Times New Roman" w:eastAsia="Times New Roman" w:hAnsi="Times New Roman" w:cs="Times New Roman"/>
          <w:b/>
          <w:bCs/>
        </w:rPr>
      </w:pPr>
      <w:r w:rsidRPr="0227D82F">
        <w:rPr>
          <w:rFonts w:ascii="Times New Roman" w:eastAsia="Times New Roman" w:hAnsi="Times New Roman" w:cs="Times New Roman"/>
          <w:b/>
          <w:bCs/>
        </w:rPr>
        <w:t>Financial Highlights</w:t>
      </w:r>
    </w:p>
    <w:p w14:paraId="5C6F4782" w14:textId="3E4F75F9" w:rsidR="008B733A" w:rsidRPr="00BC0D8E" w:rsidRDefault="18AAA88B" w:rsidP="00127934">
      <w:pPr>
        <w:pStyle w:val="ListParagraph"/>
        <w:numPr>
          <w:ilvl w:val="0"/>
          <w:numId w:val="120"/>
        </w:numPr>
        <w:spacing w:before="240" w:after="240"/>
        <w:rPr>
          <w:rFonts w:ascii="Times New Roman" w:eastAsia="Times New Roman" w:hAnsi="Times New Roman" w:cs="Times New Roman"/>
        </w:rPr>
      </w:pPr>
      <w:r w:rsidRPr="0227D82F">
        <w:rPr>
          <w:rFonts w:ascii="Times New Roman" w:eastAsia="Times New Roman" w:hAnsi="Times New Roman" w:cs="Times New Roman"/>
          <w:b/>
          <w:bCs/>
        </w:rPr>
        <w:t>EPS (GAAP)</w:t>
      </w:r>
      <w:r w:rsidRPr="0227D82F">
        <w:rPr>
          <w:rFonts w:ascii="Times New Roman" w:eastAsia="Times New Roman" w:hAnsi="Times New Roman" w:cs="Times New Roman"/>
        </w:rPr>
        <w:t xml:space="preserve">: </w:t>
      </w:r>
      <w:r w:rsidRPr="0227D82F">
        <w:rPr>
          <w:rFonts w:ascii="Times New Roman" w:eastAsia="Times New Roman" w:hAnsi="Times New Roman" w:cs="Times New Roman"/>
          <w:b/>
          <w:bCs/>
        </w:rPr>
        <w:t>-JPY 37.47</w:t>
      </w:r>
      <w:r w:rsidRPr="0227D82F">
        <w:rPr>
          <w:rFonts w:ascii="Times New Roman" w:eastAsia="Times New Roman" w:hAnsi="Times New Roman" w:cs="Times New Roman"/>
        </w:rPr>
        <w:t>, significantly below consensus of JPY 17.74.</w:t>
      </w:r>
    </w:p>
    <w:p w14:paraId="4876CB11" w14:textId="6D79E9B7" w:rsidR="008B733A" w:rsidRPr="00BC0D8E" w:rsidRDefault="18AAA88B" w:rsidP="00127934">
      <w:pPr>
        <w:pStyle w:val="ListParagraph"/>
        <w:numPr>
          <w:ilvl w:val="0"/>
          <w:numId w:val="120"/>
        </w:numPr>
        <w:spacing w:before="240" w:after="240"/>
        <w:rPr>
          <w:rFonts w:ascii="Times New Roman" w:eastAsia="Times New Roman" w:hAnsi="Times New Roman" w:cs="Times New Roman"/>
        </w:rPr>
      </w:pPr>
      <w:r w:rsidRPr="0227D82F">
        <w:rPr>
          <w:rFonts w:ascii="Times New Roman" w:eastAsia="Times New Roman" w:hAnsi="Times New Roman" w:cs="Times New Roman"/>
          <w:b/>
          <w:bCs/>
        </w:rPr>
        <w:t>Revenue</w:t>
      </w:r>
      <w:r w:rsidRPr="0227D82F">
        <w:rPr>
          <w:rFonts w:ascii="Times New Roman" w:eastAsia="Times New Roman" w:hAnsi="Times New Roman" w:cs="Times New Roman"/>
        </w:rPr>
        <w:t xml:space="preserve">: </w:t>
      </w:r>
      <w:r w:rsidRPr="0227D82F">
        <w:rPr>
          <w:rFonts w:ascii="Times New Roman" w:eastAsia="Times New Roman" w:hAnsi="Times New Roman" w:cs="Times New Roman"/>
          <w:b/>
          <w:bCs/>
        </w:rPr>
        <w:t>JPY 2.01 trillion</w:t>
      </w:r>
      <w:r w:rsidRPr="0227D82F">
        <w:rPr>
          <w:rFonts w:ascii="Times New Roman" w:eastAsia="Times New Roman" w:hAnsi="Times New Roman" w:cs="Times New Roman"/>
        </w:rPr>
        <w:t>, a 1.43% beat over consensus.</w:t>
      </w:r>
    </w:p>
    <w:p w14:paraId="06C0B846" w14:textId="2EC84842" w:rsidR="008B733A" w:rsidRPr="00BC0D8E" w:rsidRDefault="18AAA88B" w:rsidP="00127934">
      <w:pPr>
        <w:pStyle w:val="ListParagraph"/>
        <w:numPr>
          <w:ilvl w:val="0"/>
          <w:numId w:val="120"/>
        </w:numPr>
        <w:spacing w:before="240" w:after="240"/>
        <w:rPr>
          <w:rFonts w:ascii="Times New Roman" w:eastAsia="Times New Roman" w:hAnsi="Times New Roman" w:cs="Times New Roman"/>
        </w:rPr>
      </w:pPr>
      <w:r w:rsidRPr="0227D82F">
        <w:rPr>
          <w:rFonts w:ascii="Times New Roman" w:eastAsia="Times New Roman" w:hAnsi="Times New Roman" w:cs="Times New Roman"/>
          <w:b/>
          <w:bCs/>
        </w:rPr>
        <w:t>Net income</w:t>
      </w:r>
      <w:r w:rsidRPr="0227D82F">
        <w:rPr>
          <w:rFonts w:ascii="Times New Roman" w:eastAsia="Times New Roman" w:hAnsi="Times New Roman" w:cs="Times New Roman"/>
        </w:rPr>
        <w:t xml:space="preserve"> was negative due to </w:t>
      </w:r>
      <w:r w:rsidRPr="0227D82F">
        <w:rPr>
          <w:rFonts w:ascii="Times New Roman" w:eastAsia="Times New Roman" w:hAnsi="Times New Roman" w:cs="Times New Roman"/>
          <w:b/>
          <w:bCs/>
        </w:rPr>
        <w:t>one-time losses</w:t>
      </w:r>
      <w:r w:rsidRPr="0227D82F">
        <w:rPr>
          <w:rFonts w:ascii="Times New Roman" w:eastAsia="Times New Roman" w:hAnsi="Times New Roman" w:cs="Times New Roman"/>
        </w:rPr>
        <w:t xml:space="preserve">, including a </w:t>
      </w:r>
      <w:r w:rsidRPr="0227D82F">
        <w:rPr>
          <w:rFonts w:ascii="Times New Roman" w:eastAsia="Times New Roman" w:hAnsi="Times New Roman" w:cs="Times New Roman"/>
          <w:b/>
          <w:bCs/>
        </w:rPr>
        <w:t>JPY 230 billion loss from the Calvert operation withdrawal</w:t>
      </w:r>
      <w:r w:rsidRPr="0227D82F">
        <w:rPr>
          <w:rFonts w:ascii="Times New Roman" w:eastAsia="Times New Roman" w:hAnsi="Times New Roman" w:cs="Times New Roman"/>
        </w:rPr>
        <w:t>.</w:t>
      </w:r>
    </w:p>
    <w:p w14:paraId="30B60D5F" w14:textId="6B9133F4" w:rsidR="008B733A" w:rsidRPr="00BC0D8E" w:rsidRDefault="18AAA88B" w:rsidP="00127934">
      <w:pPr>
        <w:pStyle w:val="ListParagraph"/>
        <w:numPr>
          <w:ilvl w:val="0"/>
          <w:numId w:val="120"/>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Excluding one-offs, net income would have been </w:t>
      </w:r>
      <w:r w:rsidRPr="0227D82F">
        <w:rPr>
          <w:rFonts w:ascii="Times New Roman" w:eastAsia="Times New Roman" w:hAnsi="Times New Roman" w:cs="Times New Roman"/>
          <w:b/>
          <w:bCs/>
        </w:rPr>
        <w:t>positive JPY 220 billion</w:t>
      </w:r>
      <w:r w:rsidRPr="0227D82F">
        <w:rPr>
          <w:rFonts w:ascii="Times New Roman" w:eastAsia="Times New Roman" w:hAnsi="Times New Roman" w:cs="Times New Roman"/>
        </w:rPr>
        <w:t>.</w:t>
      </w:r>
    </w:p>
    <w:p w14:paraId="6568F631" w14:textId="740E11B1" w:rsidR="008B733A" w:rsidRPr="00BC0D8E" w:rsidRDefault="18AAA88B" w:rsidP="00127934">
      <w:pPr>
        <w:pStyle w:val="ListParagraph"/>
        <w:numPr>
          <w:ilvl w:val="0"/>
          <w:numId w:val="120"/>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Consolidated business profit </w:t>
      </w:r>
      <w:proofErr w:type="gramStart"/>
      <w:r w:rsidRPr="0227D82F">
        <w:rPr>
          <w:rFonts w:ascii="Times New Roman" w:eastAsia="Times New Roman" w:hAnsi="Times New Roman" w:cs="Times New Roman"/>
        </w:rPr>
        <w:t>now</w:t>
      </w:r>
      <w:proofErr w:type="gramEnd"/>
      <w:r w:rsidRPr="0227D82F">
        <w:rPr>
          <w:rFonts w:ascii="Times New Roman" w:eastAsia="Times New Roman" w:hAnsi="Times New Roman" w:cs="Times New Roman"/>
        </w:rPr>
        <w:t xml:space="preserve"> forecasted at </w:t>
      </w:r>
      <w:r w:rsidRPr="0227D82F">
        <w:rPr>
          <w:rFonts w:ascii="Times New Roman" w:eastAsia="Times New Roman" w:hAnsi="Times New Roman" w:cs="Times New Roman"/>
          <w:b/>
          <w:bCs/>
        </w:rPr>
        <w:t>JPY 730 billion</w:t>
      </w:r>
      <w:r w:rsidRPr="0227D82F">
        <w:rPr>
          <w:rFonts w:ascii="Times New Roman" w:eastAsia="Times New Roman" w:hAnsi="Times New Roman" w:cs="Times New Roman"/>
        </w:rPr>
        <w:t>, revised upward from prior estimates.</w:t>
      </w:r>
    </w:p>
    <w:p w14:paraId="7B679529" w14:textId="4199E18E" w:rsidR="008B733A" w:rsidRPr="00BC0D8E" w:rsidRDefault="008B733A" w:rsidP="2535092B"/>
    <w:p w14:paraId="1E052E4B" w14:textId="1524C343" w:rsidR="008B733A" w:rsidRPr="00BC0D8E" w:rsidRDefault="18AAA88B" w:rsidP="0227D82F">
      <w:pPr>
        <w:rPr>
          <w:rFonts w:ascii="Times New Roman" w:eastAsia="Times New Roman" w:hAnsi="Times New Roman" w:cs="Times New Roman"/>
          <w:b/>
          <w:bCs/>
        </w:rPr>
      </w:pPr>
      <w:r w:rsidRPr="0227D82F">
        <w:rPr>
          <w:rFonts w:ascii="Times New Roman" w:eastAsia="Times New Roman" w:hAnsi="Times New Roman" w:cs="Times New Roman"/>
          <w:b/>
          <w:bCs/>
        </w:rPr>
        <w:t>Operational Highlights</w:t>
      </w:r>
    </w:p>
    <w:p w14:paraId="39F85F6F" w14:textId="3D2D1070" w:rsidR="008B733A" w:rsidRPr="00BC0D8E" w:rsidRDefault="18AAA88B" w:rsidP="00127934">
      <w:pPr>
        <w:pStyle w:val="ListParagraph"/>
        <w:numPr>
          <w:ilvl w:val="0"/>
          <w:numId w:val="119"/>
        </w:numPr>
        <w:spacing w:before="240" w:after="240"/>
        <w:rPr>
          <w:rFonts w:ascii="Times New Roman" w:eastAsia="Times New Roman" w:hAnsi="Times New Roman" w:cs="Times New Roman"/>
        </w:rPr>
      </w:pPr>
      <w:r w:rsidRPr="0227D82F">
        <w:rPr>
          <w:rFonts w:ascii="Times New Roman" w:eastAsia="Times New Roman" w:hAnsi="Times New Roman" w:cs="Times New Roman"/>
          <w:b/>
          <w:bCs/>
        </w:rPr>
        <w:t>Strong integration momentum at U.S. Steel</w:t>
      </w:r>
      <w:r w:rsidRPr="0227D82F">
        <w:rPr>
          <w:rFonts w:ascii="Times New Roman" w:eastAsia="Times New Roman" w:hAnsi="Times New Roman" w:cs="Times New Roman"/>
        </w:rPr>
        <w:t>:</w:t>
      </w:r>
    </w:p>
    <w:p w14:paraId="113FFF39" w14:textId="21EFCF13" w:rsidR="008B733A" w:rsidRPr="00BC0D8E" w:rsidRDefault="18AAA88B" w:rsidP="00127934">
      <w:pPr>
        <w:pStyle w:val="ListParagraph"/>
        <w:numPr>
          <w:ilvl w:val="1"/>
          <w:numId w:val="119"/>
        </w:numPr>
        <w:spacing w:before="240" w:after="240"/>
        <w:rPr>
          <w:rFonts w:ascii="Times New Roman" w:eastAsia="Times New Roman" w:hAnsi="Times New Roman" w:cs="Times New Roman"/>
        </w:rPr>
      </w:pPr>
      <w:r w:rsidRPr="0227D82F">
        <w:rPr>
          <w:rFonts w:ascii="Times New Roman" w:eastAsia="Times New Roman" w:hAnsi="Times New Roman" w:cs="Times New Roman"/>
          <w:b/>
          <w:bCs/>
        </w:rPr>
        <w:t>40 Nippon Steel employees</w:t>
      </w:r>
      <w:r w:rsidRPr="0227D82F">
        <w:rPr>
          <w:rFonts w:ascii="Times New Roman" w:eastAsia="Times New Roman" w:hAnsi="Times New Roman" w:cs="Times New Roman"/>
        </w:rPr>
        <w:t xml:space="preserve"> deployed to USS.</w:t>
      </w:r>
    </w:p>
    <w:p w14:paraId="7503822D" w14:textId="2561115B" w:rsidR="008B733A" w:rsidRPr="00BC0D8E" w:rsidRDefault="18AAA88B" w:rsidP="00127934">
      <w:pPr>
        <w:pStyle w:val="ListParagraph"/>
        <w:numPr>
          <w:ilvl w:val="1"/>
          <w:numId w:val="119"/>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A </w:t>
      </w:r>
      <w:r w:rsidRPr="0227D82F">
        <w:rPr>
          <w:rFonts w:ascii="Times New Roman" w:eastAsia="Times New Roman" w:hAnsi="Times New Roman" w:cs="Times New Roman"/>
          <w:b/>
          <w:bCs/>
        </w:rPr>
        <w:t>100-day plan</w:t>
      </w:r>
      <w:r w:rsidRPr="0227D82F">
        <w:rPr>
          <w:rFonts w:ascii="Times New Roman" w:eastAsia="Times New Roman" w:hAnsi="Times New Roman" w:cs="Times New Roman"/>
        </w:rPr>
        <w:t xml:space="preserve"> with </w:t>
      </w:r>
      <w:r w:rsidRPr="0227D82F">
        <w:rPr>
          <w:rFonts w:ascii="Times New Roman" w:eastAsia="Times New Roman" w:hAnsi="Times New Roman" w:cs="Times New Roman"/>
          <w:b/>
          <w:bCs/>
        </w:rPr>
        <w:t>66 specific initiatives</w:t>
      </w:r>
      <w:r w:rsidRPr="0227D82F">
        <w:rPr>
          <w:rFonts w:ascii="Times New Roman" w:eastAsia="Times New Roman" w:hAnsi="Times New Roman" w:cs="Times New Roman"/>
        </w:rPr>
        <w:t xml:space="preserve"> under 8 strategic pillars is under implementation.</w:t>
      </w:r>
    </w:p>
    <w:p w14:paraId="4A55AD59" w14:textId="4D4A99D2" w:rsidR="008B733A" w:rsidRPr="00BC0D8E" w:rsidRDefault="18AAA88B" w:rsidP="00127934">
      <w:pPr>
        <w:pStyle w:val="ListParagraph"/>
        <w:numPr>
          <w:ilvl w:val="1"/>
          <w:numId w:val="119"/>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The goal is to reach </w:t>
      </w:r>
      <w:r w:rsidRPr="0227D82F">
        <w:rPr>
          <w:rFonts w:ascii="Times New Roman" w:eastAsia="Times New Roman" w:hAnsi="Times New Roman" w:cs="Times New Roman"/>
          <w:b/>
          <w:bCs/>
        </w:rPr>
        <w:t>JPY 250 billion annual business profit</w:t>
      </w:r>
      <w:r w:rsidRPr="0227D82F">
        <w:rPr>
          <w:rFonts w:ascii="Times New Roman" w:eastAsia="Times New Roman" w:hAnsi="Times New Roman" w:cs="Times New Roman"/>
        </w:rPr>
        <w:t xml:space="preserve"> from USS, up from JPY 80 billion currently.</w:t>
      </w:r>
    </w:p>
    <w:p w14:paraId="3D8797F9" w14:textId="265A855E" w:rsidR="008B733A" w:rsidRPr="00BC0D8E" w:rsidRDefault="18AAA88B" w:rsidP="00127934">
      <w:pPr>
        <w:pStyle w:val="ListParagraph"/>
        <w:numPr>
          <w:ilvl w:val="0"/>
          <w:numId w:val="119"/>
        </w:numPr>
        <w:spacing w:before="240" w:after="240"/>
        <w:rPr>
          <w:rFonts w:ascii="Times New Roman" w:eastAsia="Times New Roman" w:hAnsi="Times New Roman" w:cs="Times New Roman"/>
        </w:rPr>
      </w:pPr>
      <w:r w:rsidRPr="0227D82F">
        <w:rPr>
          <w:rFonts w:ascii="Times New Roman" w:eastAsia="Times New Roman" w:hAnsi="Times New Roman" w:cs="Times New Roman"/>
        </w:rPr>
        <w:t>First town hall and board meeting with USS employees and new directors completed, signaling close management oversight.</w:t>
      </w:r>
    </w:p>
    <w:p w14:paraId="0D3B2E7E" w14:textId="06E90C54" w:rsidR="008B733A" w:rsidRPr="00BC0D8E" w:rsidRDefault="18AAA88B" w:rsidP="0227D82F">
      <w:pPr>
        <w:rPr>
          <w:rFonts w:ascii="Times New Roman" w:eastAsia="Times New Roman" w:hAnsi="Times New Roman" w:cs="Times New Roman"/>
          <w:b/>
          <w:bCs/>
        </w:rPr>
      </w:pPr>
      <w:r w:rsidRPr="0227D82F">
        <w:rPr>
          <w:rFonts w:ascii="Times New Roman" w:eastAsia="Times New Roman" w:hAnsi="Times New Roman" w:cs="Times New Roman"/>
          <w:b/>
          <w:bCs/>
        </w:rPr>
        <w:t>Business Expansions &amp; Capital Expenditure Plans</w:t>
      </w:r>
    </w:p>
    <w:p w14:paraId="0CDA3A6C" w14:textId="6BBF0F41" w:rsidR="008B733A" w:rsidRPr="00BC0D8E" w:rsidRDefault="18AAA88B" w:rsidP="00127934">
      <w:pPr>
        <w:pStyle w:val="ListParagraph"/>
        <w:numPr>
          <w:ilvl w:val="0"/>
          <w:numId w:val="118"/>
        </w:numPr>
        <w:spacing w:before="240" w:after="240"/>
        <w:rPr>
          <w:rFonts w:ascii="Times New Roman" w:eastAsia="Times New Roman" w:hAnsi="Times New Roman" w:cs="Times New Roman"/>
        </w:rPr>
      </w:pPr>
      <w:r w:rsidRPr="0227D82F">
        <w:rPr>
          <w:rFonts w:ascii="Times New Roman" w:eastAsia="Times New Roman" w:hAnsi="Times New Roman" w:cs="Times New Roman"/>
          <w:b/>
          <w:bCs/>
        </w:rPr>
        <w:t>Big River 2</w:t>
      </w:r>
      <w:r w:rsidRPr="0227D82F">
        <w:rPr>
          <w:rFonts w:ascii="Times New Roman" w:eastAsia="Times New Roman" w:hAnsi="Times New Roman" w:cs="Times New Roman"/>
        </w:rPr>
        <w:t xml:space="preserve"> (a key USS asset) is set to be fully operational by </w:t>
      </w:r>
      <w:r w:rsidRPr="0227D82F">
        <w:rPr>
          <w:rFonts w:ascii="Times New Roman" w:eastAsia="Times New Roman" w:hAnsi="Times New Roman" w:cs="Times New Roman"/>
          <w:b/>
          <w:bCs/>
        </w:rPr>
        <w:t>early 2026</w:t>
      </w:r>
      <w:r w:rsidRPr="0227D82F">
        <w:rPr>
          <w:rFonts w:ascii="Times New Roman" w:eastAsia="Times New Roman" w:hAnsi="Times New Roman" w:cs="Times New Roman"/>
        </w:rPr>
        <w:t>.</w:t>
      </w:r>
    </w:p>
    <w:p w14:paraId="2EA36974" w14:textId="4E0ED1A2" w:rsidR="008B733A" w:rsidRPr="00BC0D8E" w:rsidRDefault="18AAA88B" w:rsidP="00127934">
      <w:pPr>
        <w:pStyle w:val="ListParagraph"/>
        <w:numPr>
          <w:ilvl w:val="0"/>
          <w:numId w:val="118"/>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Investment of </w:t>
      </w:r>
      <w:r w:rsidRPr="0227D82F">
        <w:rPr>
          <w:rFonts w:ascii="Times New Roman" w:eastAsia="Times New Roman" w:hAnsi="Times New Roman" w:cs="Times New Roman"/>
          <w:b/>
          <w:bCs/>
        </w:rPr>
        <w:t>JPY 11 billion</w:t>
      </w:r>
      <w:r w:rsidRPr="0227D82F">
        <w:rPr>
          <w:rFonts w:ascii="Times New Roman" w:eastAsia="Times New Roman" w:hAnsi="Times New Roman" w:cs="Times New Roman"/>
        </w:rPr>
        <w:t xml:space="preserve"> in USS to support operational upgrades and long-term profitability.</w:t>
      </w:r>
    </w:p>
    <w:p w14:paraId="1E6AEB71" w14:textId="51D56061" w:rsidR="008B733A" w:rsidRPr="00BC0D8E" w:rsidRDefault="18AAA88B" w:rsidP="00127934">
      <w:pPr>
        <w:pStyle w:val="ListParagraph"/>
        <w:numPr>
          <w:ilvl w:val="0"/>
          <w:numId w:val="118"/>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Nippon Steel aims to raise consolidated business profit to </w:t>
      </w:r>
      <w:r w:rsidRPr="0227D82F">
        <w:rPr>
          <w:rFonts w:ascii="Times New Roman" w:eastAsia="Times New Roman" w:hAnsi="Times New Roman" w:cs="Times New Roman"/>
          <w:b/>
          <w:bCs/>
        </w:rPr>
        <w:t>JPY 900 billion by FY2028</w:t>
      </w:r>
      <w:r w:rsidRPr="0227D82F">
        <w:rPr>
          <w:rFonts w:ascii="Times New Roman" w:eastAsia="Times New Roman" w:hAnsi="Times New Roman" w:cs="Times New Roman"/>
        </w:rPr>
        <w:t>, driven heavily by USS improvements.</w:t>
      </w:r>
    </w:p>
    <w:p w14:paraId="1C134486" w14:textId="70833263" w:rsidR="008B733A" w:rsidRPr="00BC0D8E" w:rsidRDefault="18AAA88B" w:rsidP="00127934">
      <w:pPr>
        <w:pStyle w:val="ListParagraph"/>
        <w:numPr>
          <w:ilvl w:val="0"/>
          <w:numId w:val="118"/>
        </w:numPr>
        <w:spacing w:before="240" w:after="240"/>
        <w:rPr>
          <w:rFonts w:ascii="Times New Roman" w:eastAsia="Times New Roman" w:hAnsi="Times New Roman" w:cs="Times New Roman"/>
        </w:rPr>
      </w:pPr>
      <w:r w:rsidRPr="0227D82F">
        <w:rPr>
          <w:rFonts w:ascii="Times New Roman" w:eastAsia="Times New Roman" w:hAnsi="Times New Roman" w:cs="Times New Roman"/>
        </w:rPr>
        <w:lastRenderedPageBreak/>
        <w:t xml:space="preserve">Acquisition of </w:t>
      </w:r>
      <w:proofErr w:type="spellStart"/>
      <w:r w:rsidRPr="0227D82F">
        <w:rPr>
          <w:rFonts w:ascii="Times New Roman" w:eastAsia="Times New Roman" w:hAnsi="Times New Roman" w:cs="Times New Roman"/>
          <w:b/>
          <w:bCs/>
        </w:rPr>
        <w:t>Krosaki</w:t>
      </w:r>
      <w:proofErr w:type="spellEnd"/>
      <w:r w:rsidRPr="0227D82F">
        <w:rPr>
          <w:rFonts w:ascii="Times New Roman" w:eastAsia="Times New Roman" w:hAnsi="Times New Roman" w:cs="Times New Roman"/>
          <w:b/>
          <w:bCs/>
        </w:rPr>
        <w:t xml:space="preserve"> Harima</w:t>
      </w:r>
      <w:r w:rsidRPr="0227D82F">
        <w:rPr>
          <w:rFonts w:ascii="Times New Roman" w:eastAsia="Times New Roman" w:hAnsi="Times New Roman" w:cs="Times New Roman"/>
        </w:rPr>
        <w:t xml:space="preserve"> (bricks manufacturer critical to steelmaking) to become a wholly owned subsidiary, ensuring vertical integration and securing skilled workforce.</w:t>
      </w:r>
    </w:p>
    <w:p w14:paraId="5E67486E" w14:textId="29B28005" w:rsidR="008B733A" w:rsidRPr="00BC0D8E" w:rsidRDefault="18AAA88B" w:rsidP="00127934">
      <w:pPr>
        <w:pStyle w:val="ListParagraph"/>
        <w:numPr>
          <w:ilvl w:val="0"/>
          <w:numId w:val="118"/>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Continued pursuit of </w:t>
      </w:r>
      <w:r w:rsidRPr="0227D82F">
        <w:rPr>
          <w:rFonts w:ascii="Times New Roman" w:eastAsia="Times New Roman" w:hAnsi="Times New Roman" w:cs="Times New Roman"/>
          <w:b/>
          <w:bCs/>
        </w:rPr>
        <w:t>hydrogen reduction and electric furnace technology</w:t>
      </w:r>
      <w:r w:rsidRPr="0227D82F">
        <w:rPr>
          <w:rFonts w:ascii="Times New Roman" w:eastAsia="Times New Roman" w:hAnsi="Times New Roman" w:cs="Times New Roman"/>
        </w:rPr>
        <w:t>, with commercialization targeted by 2040 as part of its Carbon Neutral Vision 2050.</w:t>
      </w:r>
    </w:p>
    <w:p w14:paraId="0A6E478D" w14:textId="17DD4618" w:rsidR="008B733A" w:rsidRPr="00BC0D8E" w:rsidRDefault="008B733A" w:rsidP="2535092B"/>
    <w:p w14:paraId="206FBF2F" w14:textId="3ED9AA9D" w:rsidR="008B733A" w:rsidRPr="00BC0D8E" w:rsidRDefault="18AAA88B" w:rsidP="0227D82F">
      <w:pPr>
        <w:rPr>
          <w:rFonts w:ascii="Times New Roman" w:eastAsia="Times New Roman" w:hAnsi="Times New Roman" w:cs="Times New Roman"/>
          <w:b/>
          <w:bCs/>
        </w:rPr>
      </w:pPr>
      <w:r w:rsidRPr="0227D82F">
        <w:rPr>
          <w:rFonts w:ascii="Times New Roman" w:eastAsia="Times New Roman" w:hAnsi="Times New Roman" w:cs="Times New Roman"/>
          <w:b/>
          <w:bCs/>
        </w:rPr>
        <w:t>Segment Performance and Outlook – U.S. Steel Focus</w:t>
      </w:r>
    </w:p>
    <w:p w14:paraId="5E1D4E8F" w14:textId="57B50A6A" w:rsidR="008B733A" w:rsidRPr="00BC0D8E" w:rsidRDefault="18AAA88B" w:rsidP="00127934">
      <w:pPr>
        <w:pStyle w:val="ListParagraph"/>
        <w:numPr>
          <w:ilvl w:val="0"/>
          <w:numId w:val="117"/>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USS contributed </w:t>
      </w:r>
      <w:r w:rsidRPr="0227D82F">
        <w:rPr>
          <w:rFonts w:ascii="Times New Roman" w:eastAsia="Times New Roman" w:hAnsi="Times New Roman" w:cs="Times New Roman"/>
          <w:b/>
          <w:bCs/>
        </w:rPr>
        <w:t>JPY 80 billion</w:t>
      </w:r>
      <w:r w:rsidRPr="0227D82F">
        <w:rPr>
          <w:rFonts w:ascii="Times New Roman" w:eastAsia="Times New Roman" w:hAnsi="Times New Roman" w:cs="Times New Roman"/>
        </w:rPr>
        <w:t xml:space="preserve"> to business profit over the last 9 months, </w:t>
      </w:r>
      <w:r w:rsidRPr="0227D82F">
        <w:rPr>
          <w:rFonts w:ascii="Times New Roman" w:eastAsia="Times New Roman" w:hAnsi="Times New Roman" w:cs="Times New Roman"/>
          <w:b/>
          <w:bCs/>
        </w:rPr>
        <w:t>prior to full consolidation</w:t>
      </w:r>
      <w:r w:rsidRPr="0227D82F">
        <w:rPr>
          <w:rFonts w:ascii="Times New Roman" w:eastAsia="Times New Roman" w:hAnsi="Times New Roman" w:cs="Times New Roman"/>
        </w:rPr>
        <w:t>.</w:t>
      </w:r>
    </w:p>
    <w:p w14:paraId="71C5B4F2" w14:textId="028F939F" w:rsidR="008B733A" w:rsidRPr="00BC0D8E" w:rsidRDefault="18AAA88B" w:rsidP="00127934">
      <w:pPr>
        <w:pStyle w:val="ListParagraph"/>
        <w:numPr>
          <w:ilvl w:val="0"/>
          <w:numId w:val="117"/>
        </w:numPr>
        <w:spacing w:before="240" w:after="240"/>
        <w:rPr>
          <w:rFonts w:ascii="Times New Roman" w:eastAsia="Times New Roman" w:hAnsi="Times New Roman" w:cs="Times New Roman"/>
        </w:rPr>
      </w:pPr>
      <w:r w:rsidRPr="0227D82F">
        <w:rPr>
          <w:rFonts w:ascii="Times New Roman" w:eastAsia="Times New Roman" w:hAnsi="Times New Roman" w:cs="Times New Roman"/>
          <w:b/>
          <w:bCs/>
        </w:rPr>
        <w:t>Calvert facility withdrawal</w:t>
      </w:r>
      <w:r w:rsidRPr="0227D82F">
        <w:rPr>
          <w:rFonts w:ascii="Times New Roman" w:eastAsia="Times New Roman" w:hAnsi="Times New Roman" w:cs="Times New Roman"/>
        </w:rPr>
        <w:t xml:space="preserve"> (located in Alabama) resulted in a significant loss this quarter, marking a strategic exit from that asset.</w:t>
      </w:r>
    </w:p>
    <w:p w14:paraId="35897707" w14:textId="6D9C1E5F" w:rsidR="008B733A" w:rsidRPr="00BC0D8E" w:rsidRDefault="18AAA88B" w:rsidP="00127934">
      <w:pPr>
        <w:pStyle w:val="ListParagraph"/>
        <w:numPr>
          <w:ilvl w:val="0"/>
          <w:numId w:val="117"/>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USS is seen as a long-term platform to access </w:t>
      </w:r>
      <w:r w:rsidRPr="0227D82F">
        <w:rPr>
          <w:rFonts w:ascii="Times New Roman" w:eastAsia="Times New Roman" w:hAnsi="Times New Roman" w:cs="Times New Roman"/>
          <w:b/>
          <w:bCs/>
        </w:rPr>
        <w:t>U.S. public infrastructure projects</w:t>
      </w:r>
      <w:r w:rsidRPr="0227D82F">
        <w:rPr>
          <w:rFonts w:ascii="Times New Roman" w:eastAsia="Times New Roman" w:hAnsi="Times New Roman" w:cs="Times New Roman"/>
        </w:rPr>
        <w:t xml:space="preserve"> and grow American market share.</w:t>
      </w:r>
    </w:p>
    <w:p w14:paraId="1AE32839" w14:textId="46E135BD" w:rsidR="008B733A" w:rsidRPr="00BC0D8E" w:rsidRDefault="18AAA88B" w:rsidP="00127934">
      <w:pPr>
        <w:pStyle w:val="ListParagraph"/>
        <w:numPr>
          <w:ilvl w:val="0"/>
          <w:numId w:val="117"/>
        </w:numPr>
        <w:spacing w:before="240" w:after="240"/>
        <w:rPr>
          <w:rFonts w:ascii="Times New Roman" w:eastAsia="Times New Roman" w:hAnsi="Times New Roman" w:cs="Times New Roman"/>
        </w:rPr>
      </w:pPr>
      <w:r w:rsidRPr="0227D82F">
        <w:rPr>
          <w:rFonts w:ascii="Times New Roman" w:eastAsia="Times New Roman" w:hAnsi="Times New Roman" w:cs="Times New Roman"/>
        </w:rPr>
        <w:t xml:space="preserve">Future performance will be bolstered by </w:t>
      </w:r>
      <w:r w:rsidRPr="0227D82F">
        <w:rPr>
          <w:rFonts w:ascii="Times New Roman" w:eastAsia="Times New Roman" w:hAnsi="Times New Roman" w:cs="Times New Roman"/>
          <w:b/>
          <w:bCs/>
        </w:rPr>
        <w:t>operational synergies, Nippon Steel technology integration, and cost reductions</w:t>
      </w:r>
      <w:r w:rsidRPr="0227D82F">
        <w:rPr>
          <w:rFonts w:ascii="Times New Roman" w:eastAsia="Times New Roman" w:hAnsi="Times New Roman" w:cs="Times New Roman"/>
        </w:rPr>
        <w:t>.</w:t>
      </w:r>
    </w:p>
    <w:p w14:paraId="569DD0A9" w14:textId="440F1513" w:rsidR="008B733A" w:rsidRPr="00BC0D8E" w:rsidRDefault="008B733A" w:rsidP="2535092B">
      <w:pPr>
        <w:rPr>
          <w:rFonts w:ascii="Times New Roman" w:eastAsia="Times New Roman" w:hAnsi="Times New Roman" w:cs="Times New Roman"/>
          <w:b/>
          <w:bCs/>
        </w:rPr>
      </w:pPr>
    </w:p>
    <w:p w14:paraId="361ACD26" w14:textId="2BE2252B" w:rsidR="2535092B" w:rsidRDefault="2535092B" w:rsidP="2535092B">
      <w:pPr>
        <w:rPr>
          <w:rFonts w:ascii="Times New Roman" w:eastAsia="Times New Roman" w:hAnsi="Times New Roman" w:cs="Times New Roman"/>
          <w:color w:val="000000" w:themeColor="text1"/>
        </w:rPr>
      </w:pPr>
    </w:p>
    <w:p w14:paraId="6B199F78" w14:textId="37F64AA0" w:rsidR="2535092B" w:rsidRDefault="2535092B" w:rsidP="2535092B">
      <w:pPr>
        <w:rPr>
          <w:rFonts w:ascii="Times New Roman" w:eastAsia="Times New Roman" w:hAnsi="Times New Roman" w:cs="Times New Roman"/>
          <w:color w:val="000000" w:themeColor="text1"/>
        </w:rPr>
      </w:pPr>
    </w:p>
    <w:p w14:paraId="64B4B3D9" w14:textId="77777777" w:rsidR="00E263BE" w:rsidRPr="00BC0D8E" w:rsidRDefault="00E263BE" w:rsidP="00E263BE"/>
    <w:p w14:paraId="286C3B98" w14:textId="77777777" w:rsidR="008B733A" w:rsidRPr="00BC0D8E" w:rsidRDefault="34354836" w:rsidP="00F67A6C">
      <w:pPr>
        <w:pStyle w:val="Heading2"/>
        <w:rPr>
          <w:rFonts w:cs="Times New Roman"/>
        </w:rPr>
      </w:pPr>
      <w:bookmarkStart w:id="75" w:name="_Toc147824679"/>
      <w:bookmarkStart w:id="76" w:name="_Toc212796764"/>
      <w:r w:rsidRPr="2535092B">
        <w:rPr>
          <w:rFonts w:cs="Times New Roman"/>
        </w:rPr>
        <w:t>Nucor Corp. (</w:t>
      </w:r>
      <w:proofErr w:type="gramStart"/>
      <w:r w:rsidRPr="2535092B">
        <w:rPr>
          <w:rFonts w:cs="Times New Roman"/>
        </w:rPr>
        <w:t>NYSE:NUE</w:t>
      </w:r>
      <w:proofErr w:type="gramEnd"/>
      <w:r w:rsidRPr="2535092B">
        <w:rPr>
          <w:rFonts w:cs="Times New Roman"/>
        </w:rPr>
        <w:t>)</w:t>
      </w:r>
      <w:bookmarkEnd w:id="75"/>
      <w:bookmarkEnd w:id="76"/>
      <w:r w:rsidRPr="2535092B">
        <w:rPr>
          <w:rFonts w:cs="Times New Roman"/>
        </w:rPr>
        <w:t xml:space="preserve"> </w:t>
      </w:r>
    </w:p>
    <w:p w14:paraId="5B36EF63" w14:textId="01FDD8B1" w:rsidR="008B733A" w:rsidRPr="00BC0D8E" w:rsidRDefault="02FFA956" w:rsidP="3CA273EB">
      <w:pPr>
        <w:pStyle w:val="Heading3"/>
        <w:rPr>
          <w:rFonts w:cs="Times New Roman"/>
          <w:color w:val="00B050"/>
        </w:rPr>
      </w:pPr>
      <w:bookmarkStart w:id="77" w:name="_Toc147824680"/>
      <w:bookmarkStart w:id="78" w:name="_Toc212796765"/>
      <w:r w:rsidRPr="2EEB26EF">
        <w:rPr>
          <w:rFonts w:cs="Times New Roman"/>
        </w:rPr>
        <w:t xml:space="preserve">Outlook: </w:t>
      </w:r>
      <w:r w:rsidR="54B35E1C" w:rsidRPr="2EEB26EF">
        <w:rPr>
          <w:rFonts w:cs="Times New Roman"/>
          <w:color w:val="00B050"/>
        </w:rPr>
        <w:t>Positive</w:t>
      </w:r>
      <w:bookmarkEnd w:id="77"/>
      <w:bookmarkEnd w:id="78"/>
    </w:p>
    <w:p w14:paraId="658A9981" w14:textId="0679F18F" w:rsidR="008B733A" w:rsidRPr="00BC0D8E" w:rsidRDefault="02FFA956" w:rsidP="3CA273EB">
      <w:pPr>
        <w:pStyle w:val="Heading3"/>
        <w:rPr>
          <w:rFonts w:cs="Times New Roman"/>
          <w:color w:val="00B050"/>
        </w:rPr>
      </w:pPr>
      <w:bookmarkStart w:id="79" w:name="_Toc147824681"/>
      <w:bookmarkStart w:id="80" w:name="_Toc212796766"/>
      <w:r w:rsidRPr="2EEB26EF">
        <w:rPr>
          <w:rFonts w:cs="Times New Roman"/>
        </w:rPr>
        <w:t xml:space="preserve">AL Outlook: </w:t>
      </w:r>
      <w:r w:rsidR="70E17115" w:rsidRPr="2EEB26EF">
        <w:rPr>
          <w:rFonts w:cs="Times New Roman"/>
          <w:color w:val="00B050"/>
        </w:rPr>
        <w:t>Positive</w:t>
      </w:r>
      <w:bookmarkEnd w:id="80"/>
      <w:r w:rsidR="70E17115" w:rsidRPr="2EEB26EF">
        <w:rPr>
          <w:rFonts w:cs="Times New Roman"/>
        </w:rPr>
        <w:t xml:space="preserve"> </w:t>
      </w:r>
      <w:bookmarkEnd w:id="79"/>
    </w:p>
    <w:p w14:paraId="112FE353" w14:textId="356461CF" w:rsidR="008B733A" w:rsidRPr="00BC0D8E" w:rsidRDefault="02FFA956" w:rsidP="008B733A">
      <w:pPr>
        <w:rPr>
          <w:rFonts w:ascii="Times New Roman" w:hAnsi="Times New Roman" w:cs="Times New Roman"/>
        </w:rPr>
      </w:pPr>
      <w:r w:rsidRPr="2EEB26EF">
        <w:rPr>
          <w:rFonts w:ascii="Times New Roman" w:hAnsi="Times New Roman" w:cs="Times New Roman"/>
          <w:b/>
          <w:bCs/>
        </w:rPr>
        <w:t>Recommended Action:</w:t>
      </w:r>
      <w:r w:rsidRPr="2EEB26EF">
        <w:rPr>
          <w:rFonts w:ascii="Times New Roman" w:hAnsi="Times New Roman" w:cs="Times New Roman"/>
        </w:rPr>
        <w:t xml:space="preserve"> </w:t>
      </w:r>
      <w:r w:rsidR="48DDE402" w:rsidRPr="6B6EE364">
        <w:rPr>
          <w:rFonts w:ascii="Times New Roman" w:hAnsi="Times New Roman" w:cs="Times New Roman"/>
        </w:rPr>
        <w:t xml:space="preserve">Monitor upgrades at the Tuscaloosa facility and </w:t>
      </w:r>
      <w:proofErr w:type="gramStart"/>
      <w:r w:rsidR="48DDE402" w:rsidRPr="6B6EE364">
        <w:rPr>
          <w:rFonts w:ascii="Times New Roman" w:hAnsi="Times New Roman" w:cs="Times New Roman"/>
        </w:rPr>
        <w:t>l</w:t>
      </w:r>
      <w:r w:rsidR="0075184D" w:rsidRPr="6B6EE364">
        <w:rPr>
          <w:rFonts w:ascii="Times New Roman" w:hAnsi="Times New Roman" w:cs="Times New Roman"/>
        </w:rPr>
        <w:t>ook</w:t>
      </w:r>
      <w:r w:rsidR="0075184D" w:rsidRPr="0075184D">
        <w:rPr>
          <w:rFonts w:ascii="Times New Roman" w:hAnsi="Times New Roman" w:cs="Times New Roman"/>
        </w:rPr>
        <w:t xml:space="preserve"> into</w:t>
      </w:r>
      <w:proofErr w:type="gramEnd"/>
      <w:r w:rsidR="0075184D" w:rsidRPr="0075184D">
        <w:rPr>
          <w:rFonts w:ascii="Times New Roman" w:hAnsi="Times New Roman" w:cs="Times New Roman"/>
        </w:rPr>
        <w:t xml:space="preserve"> facility-level expansions across Alabama, particularly in steel joists, rebar, and plate, as Nucor capitalizes on infrastructure spending and reshoring trends.</w:t>
      </w:r>
    </w:p>
    <w:p w14:paraId="672FA70F" w14:textId="097EE7CE" w:rsidR="008B733A" w:rsidRDefault="616E6C14" w:rsidP="2535092B">
      <w:pPr>
        <w:rPr>
          <w:rFonts w:ascii="Times New Roman" w:eastAsia="Times New Roman" w:hAnsi="Times New Roman" w:cs="Times New Roman"/>
          <w:color w:val="000000" w:themeColor="text1"/>
        </w:rPr>
      </w:pPr>
      <w:r w:rsidRPr="2535092B">
        <w:rPr>
          <w:rStyle w:val="Strong"/>
          <w:rFonts w:ascii="Times New Roman" w:eastAsia="Times New Roman" w:hAnsi="Times New Roman" w:cs="Times New Roman"/>
          <w:color w:val="000000" w:themeColor="text1"/>
        </w:rPr>
        <w:t>Alabama Location(s)</w:t>
      </w:r>
      <w:r w:rsidRPr="2535092B">
        <w:rPr>
          <w:rFonts w:ascii="Times New Roman" w:eastAsia="Times New Roman" w:hAnsi="Times New Roman" w:cs="Times New Roman"/>
          <w:color w:val="000000" w:themeColor="text1"/>
        </w:rPr>
        <w:t xml:space="preserve">: Trinity: Steel tube manufacturing facility; Decatur: Steel tube manufacturing facility; Birmingham: Steel tube manufacturing facility; Tuscaloosa: Steel plate manufacturing facility; Fort Payne: Steel joist manufacturing facility; Riverside: Steel rebar fabrication facility; </w:t>
      </w:r>
      <w:r w:rsidR="0DC1481C" w:rsidRPr="2535092B">
        <w:rPr>
          <w:rFonts w:ascii="Times New Roman" w:eastAsia="Times New Roman" w:hAnsi="Times New Roman" w:cs="Times New Roman"/>
          <w:color w:val="000000" w:themeColor="text1"/>
        </w:rPr>
        <w:t>Eufaula</w:t>
      </w:r>
      <w:r w:rsidRPr="2535092B">
        <w:rPr>
          <w:rFonts w:ascii="Times New Roman" w:eastAsia="Times New Roman" w:hAnsi="Times New Roman" w:cs="Times New Roman"/>
          <w:color w:val="000000" w:themeColor="text1"/>
        </w:rPr>
        <w:t>: Metal buildings manufacturing facility</w:t>
      </w:r>
    </w:p>
    <w:p w14:paraId="1BDF5598" w14:textId="77777777" w:rsidR="00F515F4" w:rsidRPr="00956486" w:rsidRDefault="00F515F4" w:rsidP="00F515F4">
      <w:pPr>
        <w:pStyle w:val="NormalWeb"/>
        <w:rPr>
          <w:sz w:val="22"/>
          <w:szCs w:val="22"/>
        </w:rPr>
      </w:pPr>
      <w:r w:rsidRPr="00956486">
        <w:rPr>
          <w:rStyle w:val="Strong"/>
          <w:rFonts w:eastAsiaTheme="majorEastAsia"/>
          <w:sz w:val="22"/>
          <w:szCs w:val="22"/>
        </w:rPr>
        <w:t>Key Takeaways</w:t>
      </w:r>
    </w:p>
    <w:p w14:paraId="61E3650F" w14:textId="77777777" w:rsidR="00F515F4" w:rsidRPr="00956486" w:rsidRDefault="00F515F4" w:rsidP="00127934">
      <w:pPr>
        <w:pStyle w:val="NormalWeb"/>
        <w:numPr>
          <w:ilvl w:val="0"/>
          <w:numId w:val="57"/>
        </w:numPr>
        <w:rPr>
          <w:sz w:val="22"/>
          <w:szCs w:val="22"/>
        </w:rPr>
      </w:pPr>
      <w:r w:rsidRPr="00956486">
        <w:rPr>
          <w:sz w:val="22"/>
          <w:szCs w:val="22"/>
        </w:rPr>
        <w:t xml:space="preserve">Nucor delivered a </w:t>
      </w:r>
      <w:r w:rsidRPr="00956486">
        <w:rPr>
          <w:rStyle w:val="Strong"/>
          <w:rFonts w:eastAsiaTheme="majorEastAsia"/>
          <w:sz w:val="22"/>
          <w:szCs w:val="22"/>
        </w:rPr>
        <w:t>strong Q2 2025</w:t>
      </w:r>
      <w:r w:rsidRPr="00956486">
        <w:rPr>
          <w:sz w:val="22"/>
          <w:szCs w:val="22"/>
        </w:rPr>
        <w:t>, driven by increased steel mill volumes, improved product mix, and resilient non-residential construction demand.</w:t>
      </w:r>
    </w:p>
    <w:p w14:paraId="6BA8DD2B" w14:textId="77777777" w:rsidR="00F515F4" w:rsidRPr="00956486" w:rsidRDefault="00F515F4" w:rsidP="00127934">
      <w:pPr>
        <w:pStyle w:val="NormalWeb"/>
        <w:numPr>
          <w:ilvl w:val="0"/>
          <w:numId w:val="57"/>
        </w:numPr>
        <w:rPr>
          <w:sz w:val="22"/>
          <w:szCs w:val="22"/>
        </w:rPr>
      </w:pPr>
      <w:r w:rsidRPr="00956486">
        <w:rPr>
          <w:sz w:val="22"/>
          <w:szCs w:val="22"/>
        </w:rPr>
        <w:t>While average selling prices declined YoY, improved operating rates and strategic end-market exposure supported stable profitability.</w:t>
      </w:r>
    </w:p>
    <w:p w14:paraId="4839A9F7" w14:textId="77777777" w:rsidR="00F515F4" w:rsidRPr="00956486" w:rsidRDefault="00F515F4" w:rsidP="00127934">
      <w:pPr>
        <w:pStyle w:val="NormalWeb"/>
        <w:numPr>
          <w:ilvl w:val="0"/>
          <w:numId w:val="57"/>
        </w:numPr>
        <w:rPr>
          <w:sz w:val="22"/>
          <w:szCs w:val="22"/>
        </w:rPr>
      </w:pPr>
      <w:r w:rsidRPr="00956486">
        <w:rPr>
          <w:sz w:val="22"/>
          <w:szCs w:val="22"/>
        </w:rPr>
        <w:t xml:space="preserve">Management emphasized continued investment in downstream value-added products and reaffirmed the company’s role as the </w:t>
      </w:r>
      <w:r w:rsidRPr="00956486">
        <w:rPr>
          <w:rStyle w:val="Strong"/>
          <w:rFonts w:eastAsiaTheme="majorEastAsia"/>
          <w:sz w:val="22"/>
          <w:szCs w:val="22"/>
        </w:rPr>
        <w:t>most diversified and vertically integrated steelmaker in North America</w:t>
      </w:r>
      <w:r w:rsidRPr="00956486">
        <w:rPr>
          <w:sz w:val="22"/>
          <w:szCs w:val="22"/>
        </w:rPr>
        <w:t>.</w:t>
      </w:r>
    </w:p>
    <w:p w14:paraId="673A3F92" w14:textId="77777777" w:rsidR="00F515F4" w:rsidRPr="00956486" w:rsidRDefault="00F515F4" w:rsidP="00127934">
      <w:pPr>
        <w:pStyle w:val="NormalWeb"/>
        <w:numPr>
          <w:ilvl w:val="0"/>
          <w:numId w:val="57"/>
        </w:numPr>
        <w:rPr>
          <w:sz w:val="22"/>
          <w:szCs w:val="22"/>
        </w:rPr>
      </w:pPr>
      <w:r w:rsidRPr="00956486">
        <w:rPr>
          <w:sz w:val="22"/>
          <w:szCs w:val="22"/>
        </w:rPr>
        <w:lastRenderedPageBreak/>
        <w:t xml:space="preserve">Nucor’s </w:t>
      </w:r>
      <w:r w:rsidRPr="00956486">
        <w:rPr>
          <w:rStyle w:val="Strong"/>
          <w:rFonts w:eastAsiaTheme="majorEastAsia"/>
          <w:sz w:val="22"/>
          <w:szCs w:val="22"/>
        </w:rPr>
        <w:t>Alabama facilities</w:t>
      </w:r>
      <w:r w:rsidRPr="00956486">
        <w:rPr>
          <w:sz w:val="22"/>
          <w:szCs w:val="22"/>
        </w:rPr>
        <w:t xml:space="preserve"> played a key role in tubular products, plate, joists, and rebar fabrication serving strong Southeast infrastructure and industrial markets.</w:t>
      </w:r>
    </w:p>
    <w:p w14:paraId="40A5B1E2" w14:textId="77777777" w:rsidR="00F515F4" w:rsidRPr="00956486" w:rsidRDefault="00F515F4" w:rsidP="00127934">
      <w:pPr>
        <w:pStyle w:val="NormalWeb"/>
        <w:numPr>
          <w:ilvl w:val="0"/>
          <w:numId w:val="57"/>
        </w:numPr>
        <w:rPr>
          <w:sz w:val="22"/>
          <w:szCs w:val="22"/>
        </w:rPr>
      </w:pPr>
      <w:r w:rsidRPr="00956486">
        <w:rPr>
          <w:sz w:val="22"/>
          <w:szCs w:val="22"/>
        </w:rPr>
        <w:t xml:space="preserve">Robust free cash flow supported ongoing </w:t>
      </w:r>
      <w:proofErr w:type="spellStart"/>
      <w:r w:rsidRPr="00956486">
        <w:rPr>
          <w:sz w:val="22"/>
          <w:szCs w:val="22"/>
        </w:rPr>
        <w:t>CapEx</w:t>
      </w:r>
      <w:proofErr w:type="spellEnd"/>
      <w:r w:rsidRPr="00956486">
        <w:rPr>
          <w:sz w:val="22"/>
          <w:szCs w:val="22"/>
        </w:rPr>
        <w:t>, debt reduction, share buybacks, and dividends — all maintained without sacrificing growth plans.</w:t>
      </w:r>
    </w:p>
    <w:p w14:paraId="2FA60FE2" w14:textId="77777777" w:rsidR="00F515F4" w:rsidRPr="00956486" w:rsidRDefault="00F515F4" w:rsidP="00127934">
      <w:pPr>
        <w:pStyle w:val="NormalWeb"/>
        <w:numPr>
          <w:ilvl w:val="0"/>
          <w:numId w:val="57"/>
        </w:numPr>
        <w:rPr>
          <w:sz w:val="22"/>
          <w:szCs w:val="22"/>
        </w:rPr>
      </w:pPr>
      <w:r w:rsidRPr="00956486">
        <w:rPr>
          <w:sz w:val="22"/>
          <w:szCs w:val="22"/>
        </w:rPr>
        <w:t>The company remains bullish on second-half performance, citing favorable construction indicators and energy sector demand.</w:t>
      </w:r>
    </w:p>
    <w:p w14:paraId="10BC1058" w14:textId="77777777" w:rsidR="00F515F4" w:rsidRPr="00956486" w:rsidRDefault="00F515F4" w:rsidP="00F515F4">
      <w:pPr>
        <w:pStyle w:val="NormalWeb"/>
        <w:rPr>
          <w:sz w:val="22"/>
          <w:szCs w:val="22"/>
        </w:rPr>
      </w:pPr>
      <w:r w:rsidRPr="00956486">
        <w:rPr>
          <w:rStyle w:val="Strong"/>
          <w:rFonts w:eastAsiaTheme="majorEastAsia"/>
          <w:sz w:val="22"/>
          <w:szCs w:val="22"/>
        </w:rPr>
        <w:t>Financial Highlights</w:t>
      </w:r>
    </w:p>
    <w:p w14:paraId="19CBBF23" w14:textId="77777777" w:rsidR="00F515F4" w:rsidRPr="00956486" w:rsidRDefault="00F515F4" w:rsidP="00127934">
      <w:pPr>
        <w:pStyle w:val="NormalWeb"/>
        <w:numPr>
          <w:ilvl w:val="0"/>
          <w:numId w:val="58"/>
        </w:numPr>
        <w:rPr>
          <w:sz w:val="22"/>
          <w:szCs w:val="22"/>
        </w:rPr>
      </w:pPr>
      <w:r w:rsidRPr="00956486">
        <w:rPr>
          <w:sz w:val="22"/>
          <w:szCs w:val="22"/>
        </w:rPr>
        <w:t xml:space="preserve">Net sales: </w:t>
      </w:r>
      <w:r w:rsidRPr="00956486">
        <w:rPr>
          <w:rStyle w:val="Strong"/>
          <w:rFonts w:eastAsiaTheme="majorEastAsia"/>
          <w:sz w:val="22"/>
          <w:szCs w:val="22"/>
        </w:rPr>
        <w:t>$9.56 billion</w:t>
      </w:r>
      <w:r w:rsidRPr="00956486">
        <w:rPr>
          <w:sz w:val="22"/>
          <w:szCs w:val="22"/>
        </w:rPr>
        <w:t>, down 6% YoY but up 3% sequentially; driven by higher shipments and improved pricing in downstream segments.</w:t>
      </w:r>
    </w:p>
    <w:p w14:paraId="387059E9" w14:textId="77777777" w:rsidR="00F515F4" w:rsidRPr="00956486" w:rsidRDefault="00F515F4" w:rsidP="00127934">
      <w:pPr>
        <w:pStyle w:val="NormalWeb"/>
        <w:numPr>
          <w:ilvl w:val="0"/>
          <w:numId w:val="58"/>
        </w:numPr>
        <w:rPr>
          <w:sz w:val="22"/>
          <w:szCs w:val="22"/>
        </w:rPr>
      </w:pPr>
      <w:r w:rsidRPr="00956486">
        <w:rPr>
          <w:sz w:val="22"/>
          <w:szCs w:val="22"/>
        </w:rPr>
        <w:t xml:space="preserve">Net earnings: </w:t>
      </w:r>
      <w:r w:rsidRPr="00956486">
        <w:rPr>
          <w:rStyle w:val="Strong"/>
          <w:rFonts w:eastAsiaTheme="majorEastAsia"/>
          <w:sz w:val="22"/>
          <w:szCs w:val="22"/>
        </w:rPr>
        <w:t>$1.41 billion</w:t>
      </w:r>
      <w:r w:rsidRPr="00956486">
        <w:rPr>
          <w:sz w:val="22"/>
          <w:szCs w:val="22"/>
        </w:rPr>
        <w:t xml:space="preserve">, or </w:t>
      </w:r>
      <w:r w:rsidRPr="00956486">
        <w:rPr>
          <w:rStyle w:val="Strong"/>
          <w:rFonts w:eastAsiaTheme="majorEastAsia"/>
          <w:sz w:val="22"/>
          <w:szCs w:val="22"/>
        </w:rPr>
        <w:t>$5.45 per diluted share</w:t>
      </w:r>
      <w:r w:rsidRPr="00956486">
        <w:rPr>
          <w:sz w:val="22"/>
          <w:szCs w:val="22"/>
        </w:rPr>
        <w:t>, compared to $1.46 billion and $5.68 per share in Q2 2024.</w:t>
      </w:r>
    </w:p>
    <w:p w14:paraId="49362253" w14:textId="77777777" w:rsidR="00F515F4" w:rsidRPr="00956486" w:rsidRDefault="00F515F4" w:rsidP="00127934">
      <w:pPr>
        <w:pStyle w:val="NormalWeb"/>
        <w:numPr>
          <w:ilvl w:val="0"/>
          <w:numId w:val="58"/>
        </w:numPr>
        <w:rPr>
          <w:sz w:val="22"/>
          <w:szCs w:val="22"/>
        </w:rPr>
      </w:pPr>
      <w:r w:rsidRPr="00956486">
        <w:rPr>
          <w:sz w:val="22"/>
          <w:szCs w:val="22"/>
        </w:rPr>
        <w:t xml:space="preserve">Consolidated average selling price per ton declined </w:t>
      </w:r>
      <w:r w:rsidRPr="00956486">
        <w:rPr>
          <w:rStyle w:val="Strong"/>
          <w:rFonts w:eastAsiaTheme="majorEastAsia"/>
          <w:sz w:val="22"/>
          <w:szCs w:val="22"/>
        </w:rPr>
        <w:t>12% YoY</w:t>
      </w:r>
      <w:r w:rsidRPr="00956486">
        <w:rPr>
          <w:sz w:val="22"/>
          <w:szCs w:val="22"/>
        </w:rPr>
        <w:t xml:space="preserve"> but was flat sequentially.</w:t>
      </w:r>
    </w:p>
    <w:p w14:paraId="3CCFAC75" w14:textId="77777777" w:rsidR="00F515F4" w:rsidRPr="00956486" w:rsidRDefault="00F515F4" w:rsidP="00127934">
      <w:pPr>
        <w:pStyle w:val="NormalWeb"/>
        <w:numPr>
          <w:ilvl w:val="0"/>
          <w:numId w:val="58"/>
        </w:numPr>
        <w:rPr>
          <w:sz w:val="22"/>
          <w:szCs w:val="22"/>
        </w:rPr>
      </w:pPr>
      <w:r w:rsidRPr="00956486">
        <w:rPr>
          <w:sz w:val="22"/>
          <w:szCs w:val="22"/>
        </w:rPr>
        <w:t xml:space="preserve">EBITDA: </w:t>
      </w:r>
      <w:r w:rsidRPr="00956486">
        <w:rPr>
          <w:rStyle w:val="Strong"/>
          <w:rFonts w:eastAsiaTheme="majorEastAsia"/>
          <w:sz w:val="22"/>
          <w:szCs w:val="22"/>
        </w:rPr>
        <w:t>$2.1 billion</w:t>
      </w:r>
      <w:r w:rsidRPr="00956486">
        <w:rPr>
          <w:sz w:val="22"/>
          <w:szCs w:val="22"/>
        </w:rPr>
        <w:t>, EBITDA margin of 22% (flat YoY).</w:t>
      </w:r>
    </w:p>
    <w:p w14:paraId="0617EA56" w14:textId="77777777" w:rsidR="00F515F4" w:rsidRPr="00956486" w:rsidRDefault="00F515F4" w:rsidP="00127934">
      <w:pPr>
        <w:pStyle w:val="NormalWeb"/>
        <w:numPr>
          <w:ilvl w:val="0"/>
          <w:numId w:val="58"/>
        </w:numPr>
        <w:rPr>
          <w:sz w:val="22"/>
          <w:szCs w:val="22"/>
        </w:rPr>
      </w:pPr>
      <w:r w:rsidRPr="00956486">
        <w:rPr>
          <w:sz w:val="22"/>
          <w:szCs w:val="22"/>
        </w:rPr>
        <w:t xml:space="preserve">Free cash flow: </w:t>
      </w:r>
      <w:r w:rsidRPr="00956486">
        <w:rPr>
          <w:rStyle w:val="Strong"/>
          <w:rFonts w:eastAsiaTheme="majorEastAsia"/>
          <w:sz w:val="22"/>
          <w:szCs w:val="22"/>
        </w:rPr>
        <w:t>$1.2 billion</w:t>
      </w:r>
      <w:r w:rsidRPr="00956486">
        <w:rPr>
          <w:sz w:val="22"/>
          <w:szCs w:val="22"/>
        </w:rPr>
        <w:t xml:space="preserve"> in Q2, enabling continued investment and capital return.</w:t>
      </w:r>
    </w:p>
    <w:p w14:paraId="5E8592F2" w14:textId="77777777" w:rsidR="00F515F4" w:rsidRPr="00956486" w:rsidRDefault="00F515F4" w:rsidP="00127934">
      <w:pPr>
        <w:pStyle w:val="NormalWeb"/>
        <w:numPr>
          <w:ilvl w:val="0"/>
          <w:numId w:val="58"/>
        </w:numPr>
        <w:rPr>
          <w:sz w:val="22"/>
          <w:szCs w:val="22"/>
        </w:rPr>
      </w:pPr>
      <w:r w:rsidRPr="00956486">
        <w:rPr>
          <w:sz w:val="22"/>
          <w:szCs w:val="22"/>
        </w:rPr>
        <w:t xml:space="preserve">Share repurchases: </w:t>
      </w:r>
      <w:r w:rsidRPr="00956486">
        <w:rPr>
          <w:rStyle w:val="Strong"/>
          <w:rFonts w:eastAsiaTheme="majorEastAsia"/>
          <w:sz w:val="22"/>
          <w:szCs w:val="22"/>
        </w:rPr>
        <w:t>$402 million</w:t>
      </w:r>
      <w:r w:rsidRPr="00956486">
        <w:rPr>
          <w:sz w:val="22"/>
          <w:szCs w:val="22"/>
        </w:rPr>
        <w:t xml:space="preserve"> during the quarter; dividend of </w:t>
      </w:r>
      <w:r w:rsidRPr="00956486">
        <w:rPr>
          <w:rStyle w:val="Strong"/>
          <w:rFonts w:eastAsiaTheme="majorEastAsia"/>
          <w:sz w:val="22"/>
          <w:szCs w:val="22"/>
        </w:rPr>
        <w:t>$0.54 per share</w:t>
      </w:r>
      <w:r w:rsidRPr="00956486">
        <w:rPr>
          <w:sz w:val="22"/>
          <w:szCs w:val="22"/>
        </w:rPr>
        <w:t xml:space="preserve"> paid (20th consecutive annual increase).</w:t>
      </w:r>
    </w:p>
    <w:p w14:paraId="45634679" w14:textId="77777777" w:rsidR="00F515F4" w:rsidRPr="00956486" w:rsidRDefault="00F515F4" w:rsidP="00127934">
      <w:pPr>
        <w:pStyle w:val="NormalWeb"/>
        <w:numPr>
          <w:ilvl w:val="0"/>
          <w:numId w:val="58"/>
        </w:numPr>
        <w:rPr>
          <w:sz w:val="22"/>
          <w:szCs w:val="22"/>
        </w:rPr>
      </w:pPr>
      <w:r w:rsidRPr="00956486">
        <w:rPr>
          <w:sz w:val="22"/>
          <w:szCs w:val="22"/>
        </w:rPr>
        <w:t xml:space="preserve">Debt-to-cap ratio: </w:t>
      </w:r>
      <w:r w:rsidRPr="00956486">
        <w:rPr>
          <w:rStyle w:val="Strong"/>
          <w:rFonts w:eastAsiaTheme="majorEastAsia"/>
          <w:sz w:val="22"/>
          <w:szCs w:val="22"/>
        </w:rPr>
        <w:t>22.5%</w:t>
      </w:r>
      <w:r w:rsidRPr="00956486">
        <w:rPr>
          <w:sz w:val="22"/>
          <w:szCs w:val="22"/>
        </w:rPr>
        <w:t>, reflecting strong balance sheet flexibility.</w:t>
      </w:r>
    </w:p>
    <w:p w14:paraId="0C9373C4" w14:textId="77777777" w:rsidR="00F515F4" w:rsidRPr="00956486" w:rsidRDefault="00F515F4" w:rsidP="00F515F4">
      <w:pPr>
        <w:pStyle w:val="NormalWeb"/>
        <w:rPr>
          <w:sz w:val="22"/>
          <w:szCs w:val="22"/>
        </w:rPr>
      </w:pPr>
      <w:r w:rsidRPr="00956486">
        <w:rPr>
          <w:rStyle w:val="Strong"/>
          <w:rFonts w:eastAsiaTheme="majorEastAsia"/>
          <w:sz w:val="22"/>
          <w:szCs w:val="22"/>
        </w:rPr>
        <w:t>Operational Highlights</w:t>
      </w:r>
    </w:p>
    <w:p w14:paraId="0FCCD796" w14:textId="77777777" w:rsidR="00F515F4" w:rsidRPr="00956486" w:rsidRDefault="00F515F4" w:rsidP="00127934">
      <w:pPr>
        <w:pStyle w:val="NormalWeb"/>
        <w:numPr>
          <w:ilvl w:val="0"/>
          <w:numId w:val="59"/>
        </w:numPr>
        <w:rPr>
          <w:sz w:val="22"/>
          <w:szCs w:val="22"/>
        </w:rPr>
      </w:pPr>
      <w:r w:rsidRPr="00956486">
        <w:rPr>
          <w:sz w:val="22"/>
          <w:szCs w:val="22"/>
        </w:rPr>
        <w:t xml:space="preserve">Total steel shipments: </w:t>
      </w:r>
      <w:r w:rsidRPr="00956486">
        <w:rPr>
          <w:rStyle w:val="Strong"/>
          <w:rFonts w:eastAsiaTheme="majorEastAsia"/>
          <w:sz w:val="22"/>
          <w:szCs w:val="22"/>
        </w:rPr>
        <w:t>6.3 million tons</w:t>
      </w:r>
      <w:r w:rsidRPr="00956486">
        <w:rPr>
          <w:sz w:val="22"/>
          <w:szCs w:val="22"/>
        </w:rPr>
        <w:t>, up 5% YoY and 2% QoQ.</w:t>
      </w:r>
    </w:p>
    <w:p w14:paraId="40773D81" w14:textId="77777777" w:rsidR="00F515F4" w:rsidRPr="00956486" w:rsidRDefault="00F515F4" w:rsidP="00127934">
      <w:pPr>
        <w:pStyle w:val="NormalWeb"/>
        <w:numPr>
          <w:ilvl w:val="0"/>
          <w:numId w:val="59"/>
        </w:numPr>
        <w:rPr>
          <w:sz w:val="22"/>
          <w:szCs w:val="22"/>
        </w:rPr>
      </w:pPr>
      <w:r w:rsidRPr="00956486">
        <w:rPr>
          <w:rStyle w:val="Strong"/>
          <w:rFonts w:eastAsiaTheme="majorEastAsia"/>
          <w:sz w:val="22"/>
          <w:szCs w:val="22"/>
        </w:rPr>
        <w:t>Alabama steel and downstream operations</w:t>
      </w:r>
      <w:r w:rsidRPr="00956486">
        <w:rPr>
          <w:sz w:val="22"/>
          <w:szCs w:val="22"/>
        </w:rPr>
        <w:t xml:space="preserve"> contributed to strong regional performance in the Southeast:</w:t>
      </w:r>
    </w:p>
    <w:p w14:paraId="397F578E" w14:textId="77777777" w:rsidR="00F515F4" w:rsidRPr="00956486" w:rsidRDefault="00F515F4" w:rsidP="00127934">
      <w:pPr>
        <w:pStyle w:val="NormalWeb"/>
        <w:numPr>
          <w:ilvl w:val="1"/>
          <w:numId w:val="59"/>
        </w:numPr>
        <w:rPr>
          <w:sz w:val="22"/>
          <w:szCs w:val="22"/>
        </w:rPr>
      </w:pPr>
      <w:r w:rsidRPr="00956486">
        <w:rPr>
          <w:rStyle w:val="Strong"/>
          <w:rFonts w:eastAsiaTheme="majorEastAsia"/>
          <w:sz w:val="22"/>
          <w:szCs w:val="22"/>
        </w:rPr>
        <w:t>Tuscaloosa plate mill</w:t>
      </w:r>
      <w:r w:rsidRPr="00956486">
        <w:rPr>
          <w:sz w:val="22"/>
          <w:szCs w:val="22"/>
        </w:rPr>
        <w:t xml:space="preserve"> supported marine, heavy equipment, and energy sector demand.</w:t>
      </w:r>
    </w:p>
    <w:p w14:paraId="654EA652" w14:textId="77777777" w:rsidR="00F515F4" w:rsidRPr="00956486" w:rsidRDefault="00F515F4" w:rsidP="00127934">
      <w:pPr>
        <w:pStyle w:val="NormalWeb"/>
        <w:numPr>
          <w:ilvl w:val="1"/>
          <w:numId w:val="59"/>
        </w:numPr>
        <w:rPr>
          <w:sz w:val="22"/>
          <w:szCs w:val="22"/>
        </w:rPr>
      </w:pPr>
      <w:r w:rsidRPr="00956486">
        <w:rPr>
          <w:rStyle w:val="Strong"/>
          <w:rFonts w:eastAsiaTheme="majorEastAsia"/>
          <w:sz w:val="22"/>
          <w:szCs w:val="22"/>
        </w:rPr>
        <w:t>Decatur and Trinity steel tubing plants</w:t>
      </w:r>
      <w:r w:rsidRPr="00956486">
        <w:rPr>
          <w:sz w:val="22"/>
          <w:szCs w:val="22"/>
        </w:rPr>
        <w:t xml:space="preserve"> ran at high utilization with demand from HVAC, automotive, and industrial OEMs.</w:t>
      </w:r>
    </w:p>
    <w:p w14:paraId="154F796C" w14:textId="77777777" w:rsidR="00F515F4" w:rsidRPr="00956486" w:rsidRDefault="00F515F4" w:rsidP="00127934">
      <w:pPr>
        <w:pStyle w:val="NormalWeb"/>
        <w:numPr>
          <w:ilvl w:val="1"/>
          <w:numId w:val="59"/>
        </w:numPr>
        <w:rPr>
          <w:sz w:val="22"/>
          <w:szCs w:val="22"/>
        </w:rPr>
      </w:pPr>
      <w:r w:rsidRPr="00956486">
        <w:rPr>
          <w:rStyle w:val="Strong"/>
          <w:rFonts w:eastAsiaTheme="majorEastAsia"/>
          <w:sz w:val="22"/>
          <w:szCs w:val="22"/>
        </w:rPr>
        <w:t>Birmingham (steel fabrication), Riverside (rebar), Fort Payne (joists), and Eufaula (metal buildings)</w:t>
      </w:r>
      <w:r w:rsidRPr="00956486">
        <w:rPr>
          <w:sz w:val="22"/>
          <w:szCs w:val="22"/>
        </w:rPr>
        <w:t xml:space="preserve"> all maintained full schedules with robust non-residential backlogs.</w:t>
      </w:r>
    </w:p>
    <w:p w14:paraId="24F1F1B6" w14:textId="77777777" w:rsidR="00F515F4" w:rsidRPr="00956486" w:rsidRDefault="00F515F4" w:rsidP="00127934">
      <w:pPr>
        <w:pStyle w:val="NormalWeb"/>
        <w:numPr>
          <w:ilvl w:val="0"/>
          <w:numId w:val="59"/>
        </w:numPr>
        <w:rPr>
          <w:sz w:val="22"/>
          <w:szCs w:val="22"/>
        </w:rPr>
      </w:pPr>
      <w:r w:rsidRPr="00956486">
        <w:rPr>
          <w:sz w:val="22"/>
          <w:szCs w:val="22"/>
        </w:rPr>
        <w:t xml:space="preserve">Operating rates improved to </w:t>
      </w:r>
      <w:r w:rsidRPr="00956486">
        <w:rPr>
          <w:rStyle w:val="Strong"/>
          <w:rFonts w:eastAsiaTheme="majorEastAsia"/>
          <w:sz w:val="22"/>
          <w:szCs w:val="22"/>
        </w:rPr>
        <w:t>84%</w:t>
      </w:r>
      <w:r w:rsidRPr="00956486">
        <w:rPr>
          <w:sz w:val="22"/>
          <w:szCs w:val="22"/>
        </w:rPr>
        <w:t>, up from 79% in Q1.</w:t>
      </w:r>
    </w:p>
    <w:p w14:paraId="70D2A5E9" w14:textId="77777777" w:rsidR="00F515F4" w:rsidRPr="00956486" w:rsidRDefault="00F515F4" w:rsidP="00127934">
      <w:pPr>
        <w:pStyle w:val="NormalWeb"/>
        <w:numPr>
          <w:ilvl w:val="0"/>
          <w:numId w:val="59"/>
        </w:numPr>
        <w:rPr>
          <w:sz w:val="22"/>
          <w:szCs w:val="22"/>
        </w:rPr>
      </w:pPr>
      <w:r w:rsidRPr="00956486">
        <w:rPr>
          <w:sz w:val="22"/>
          <w:szCs w:val="22"/>
        </w:rPr>
        <w:t>Internal scrap recycling fed over 70% of melt shop volume — reducing input cost volatility.</w:t>
      </w:r>
    </w:p>
    <w:p w14:paraId="5C33D0D5" w14:textId="77777777" w:rsidR="00F515F4" w:rsidRPr="00956486" w:rsidRDefault="00F515F4" w:rsidP="00F515F4">
      <w:pPr>
        <w:pStyle w:val="NormalWeb"/>
        <w:rPr>
          <w:sz w:val="22"/>
          <w:szCs w:val="22"/>
        </w:rPr>
      </w:pPr>
      <w:r w:rsidRPr="00956486">
        <w:rPr>
          <w:rStyle w:val="Strong"/>
          <w:rFonts w:eastAsiaTheme="majorEastAsia"/>
          <w:sz w:val="22"/>
          <w:szCs w:val="22"/>
        </w:rPr>
        <w:t>Business Expansions &amp; Capital Expenditure Plans</w:t>
      </w:r>
    </w:p>
    <w:p w14:paraId="4ADF5884" w14:textId="77777777" w:rsidR="00F515F4" w:rsidRPr="00956486" w:rsidRDefault="00F515F4" w:rsidP="00127934">
      <w:pPr>
        <w:pStyle w:val="NormalWeb"/>
        <w:numPr>
          <w:ilvl w:val="0"/>
          <w:numId w:val="60"/>
        </w:numPr>
        <w:rPr>
          <w:sz w:val="22"/>
          <w:szCs w:val="22"/>
        </w:rPr>
      </w:pPr>
      <w:r w:rsidRPr="00956486">
        <w:rPr>
          <w:sz w:val="22"/>
          <w:szCs w:val="22"/>
        </w:rPr>
        <w:t xml:space="preserve">Q2 </w:t>
      </w:r>
      <w:proofErr w:type="spellStart"/>
      <w:r w:rsidRPr="00956486">
        <w:rPr>
          <w:sz w:val="22"/>
          <w:szCs w:val="22"/>
        </w:rPr>
        <w:t>CapEx</w:t>
      </w:r>
      <w:proofErr w:type="spellEnd"/>
      <w:r w:rsidRPr="00956486">
        <w:rPr>
          <w:sz w:val="22"/>
          <w:szCs w:val="22"/>
        </w:rPr>
        <w:t xml:space="preserve">: </w:t>
      </w:r>
      <w:r w:rsidRPr="00956486">
        <w:rPr>
          <w:rStyle w:val="Strong"/>
          <w:rFonts w:eastAsiaTheme="majorEastAsia"/>
          <w:sz w:val="22"/>
          <w:szCs w:val="22"/>
        </w:rPr>
        <w:t>$613 million</w:t>
      </w:r>
      <w:r w:rsidRPr="00956486">
        <w:rPr>
          <w:sz w:val="22"/>
          <w:szCs w:val="22"/>
        </w:rPr>
        <w:t xml:space="preserve">, with full-year 2025 forecast of </w:t>
      </w:r>
      <w:r w:rsidRPr="00956486">
        <w:rPr>
          <w:rStyle w:val="Strong"/>
          <w:rFonts w:eastAsiaTheme="majorEastAsia"/>
          <w:sz w:val="22"/>
          <w:szCs w:val="22"/>
        </w:rPr>
        <w:t>$2.6–2.8 billion</w:t>
      </w:r>
      <w:r w:rsidRPr="00956486">
        <w:rPr>
          <w:sz w:val="22"/>
          <w:szCs w:val="22"/>
        </w:rPr>
        <w:t>, funding:</w:t>
      </w:r>
    </w:p>
    <w:p w14:paraId="75539153" w14:textId="77777777" w:rsidR="00F515F4" w:rsidRPr="00956486" w:rsidRDefault="00F515F4" w:rsidP="00127934">
      <w:pPr>
        <w:pStyle w:val="NormalWeb"/>
        <w:numPr>
          <w:ilvl w:val="1"/>
          <w:numId w:val="60"/>
        </w:numPr>
        <w:rPr>
          <w:sz w:val="22"/>
          <w:szCs w:val="22"/>
        </w:rPr>
      </w:pPr>
      <w:r w:rsidRPr="00956486">
        <w:rPr>
          <w:sz w:val="22"/>
          <w:szCs w:val="22"/>
        </w:rPr>
        <w:t>Sheet mill modernization</w:t>
      </w:r>
    </w:p>
    <w:p w14:paraId="21FB0109" w14:textId="77777777" w:rsidR="00F515F4" w:rsidRPr="00956486" w:rsidRDefault="00F515F4" w:rsidP="00127934">
      <w:pPr>
        <w:pStyle w:val="NormalWeb"/>
        <w:numPr>
          <w:ilvl w:val="1"/>
          <w:numId w:val="60"/>
        </w:numPr>
        <w:rPr>
          <w:sz w:val="22"/>
          <w:szCs w:val="22"/>
        </w:rPr>
      </w:pPr>
      <w:r w:rsidRPr="00956486">
        <w:rPr>
          <w:sz w:val="22"/>
          <w:szCs w:val="22"/>
        </w:rPr>
        <w:t>Plate and tubing expansions</w:t>
      </w:r>
    </w:p>
    <w:p w14:paraId="35636EB1" w14:textId="77777777" w:rsidR="00F515F4" w:rsidRPr="00956486" w:rsidRDefault="00F515F4" w:rsidP="00127934">
      <w:pPr>
        <w:pStyle w:val="NormalWeb"/>
        <w:numPr>
          <w:ilvl w:val="1"/>
          <w:numId w:val="60"/>
        </w:numPr>
        <w:rPr>
          <w:sz w:val="22"/>
          <w:szCs w:val="22"/>
        </w:rPr>
      </w:pPr>
      <w:r w:rsidRPr="00956486">
        <w:rPr>
          <w:sz w:val="22"/>
          <w:szCs w:val="22"/>
        </w:rPr>
        <w:t>New long products mill construction</w:t>
      </w:r>
    </w:p>
    <w:p w14:paraId="429A4D86" w14:textId="77777777" w:rsidR="00F515F4" w:rsidRPr="00956486" w:rsidRDefault="00F515F4" w:rsidP="00127934">
      <w:pPr>
        <w:pStyle w:val="NormalWeb"/>
        <w:numPr>
          <w:ilvl w:val="0"/>
          <w:numId w:val="60"/>
        </w:numPr>
        <w:rPr>
          <w:sz w:val="22"/>
          <w:szCs w:val="22"/>
        </w:rPr>
      </w:pPr>
      <w:r w:rsidRPr="00956486">
        <w:rPr>
          <w:sz w:val="22"/>
          <w:szCs w:val="22"/>
        </w:rPr>
        <w:t xml:space="preserve">In Alabama, Nucor continued upgrading </w:t>
      </w:r>
      <w:r w:rsidRPr="00956486">
        <w:rPr>
          <w:rStyle w:val="Strong"/>
          <w:rFonts w:eastAsiaTheme="majorEastAsia"/>
          <w:sz w:val="22"/>
          <w:szCs w:val="22"/>
        </w:rPr>
        <w:t>plate mill assets in Tuscaloosa</w:t>
      </w:r>
      <w:r w:rsidRPr="00956486">
        <w:rPr>
          <w:sz w:val="22"/>
          <w:szCs w:val="22"/>
        </w:rPr>
        <w:t>, including:</w:t>
      </w:r>
    </w:p>
    <w:p w14:paraId="349CE3A0" w14:textId="77777777" w:rsidR="00F515F4" w:rsidRPr="00956486" w:rsidRDefault="00F515F4" w:rsidP="00127934">
      <w:pPr>
        <w:pStyle w:val="NormalWeb"/>
        <w:numPr>
          <w:ilvl w:val="1"/>
          <w:numId w:val="60"/>
        </w:numPr>
        <w:rPr>
          <w:sz w:val="22"/>
          <w:szCs w:val="22"/>
        </w:rPr>
      </w:pPr>
      <w:r w:rsidRPr="00956486">
        <w:rPr>
          <w:sz w:val="22"/>
          <w:szCs w:val="22"/>
        </w:rPr>
        <w:t>Furnace controls</w:t>
      </w:r>
    </w:p>
    <w:p w14:paraId="01D531B8" w14:textId="77777777" w:rsidR="00F515F4" w:rsidRPr="00956486" w:rsidRDefault="00F515F4" w:rsidP="00127934">
      <w:pPr>
        <w:pStyle w:val="NormalWeb"/>
        <w:numPr>
          <w:ilvl w:val="1"/>
          <w:numId w:val="60"/>
        </w:numPr>
        <w:rPr>
          <w:sz w:val="22"/>
          <w:szCs w:val="22"/>
        </w:rPr>
      </w:pPr>
      <w:r w:rsidRPr="00956486">
        <w:rPr>
          <w:sz w:val="22"/>
          <w:szCs w:val="22"/>
        </w:rPr>
        <w:t>Plate cooling system improvements</w:t>
      </w:r>
    </w:p>
    <w:p w14:paraId="6AE102FC" w14:textId="77777777" w:rsidR="00F515F4" w:rsidRPr="00956486" w:rsidRDefault="00F515F4" w:rsidP="00127934">
      <w:pPr>
        <w:pStyle w:val="NormalWeb"/>
        <w:numPr>
          <w:ilvl w:val="1"/>
          <w:numId w:val="60"/>
        </w:numPr>
        <w:rPr>
          <w:sz w:val="22"/>
          <w:szCs w:val="22"/>
        </w:rPr>
      </w:pPr>
      <w:r w:rsidRPr="00956486">
        <w:rPr>
          <w:sz w:val="22"/>
          <w:szCs w:val="22"/>
        </w:rPr>
        <w:t>Increased digitalization for product traceability</w:t>
      </w:r>
    </w:p>
    <w:p w14:paraId="553C5EA8" w14:textId="77777777" w:rsidR="00F515F4" w:rsidRPr="00956486" w:rsidRDefault="00F515F4" w:rsidP="00127934">
      <w:pPr>
        <w:pStyle w:val="NormalWeb"/>
        <w:numPr>
          <w:ilvl w:val="0"/>
          <w:numId w:val="60"/>
        </w:numPr>
        <w:rPr>
          <w:sz w:val="22"/>
          <w:szCs w:val="22"/>
        </w:rPr>
      </w:pPr>
      <w:r w:rsidRPr="00956486">
        <w:rPr>
          <w:rStyle w:val="Strong"/>
          <w:rFonts w:eastAsiaTheme="majorEastAsia"/>
          <w:sz w:val="22"/>
          <w:szCs w:val="22"/>
        </w:rPr>
        <w:t>Steel tubing division</w:t>
      </w:r>
      <w:r w:rsidRPr="00956486">
        <w:rPr>
          <w:sz w:val="22"/>
          <w:szCs w:val="22"/>
        </w:rPr>
        <w:t xml:space="preserve"> (including Decatur and Trinity) is undergoing process automation and material handling upgrades.</w:t>
      </w:r>
    </w:p>
    <w:p w14:paraId="08082D2C" w14:textId="77777777" w:rsidR="00F515F4" w:rsidRPr="00956486" w:rsidRDefault="00F515F4" w:rsidP="00127934">
      <w:pPr>
        <w:pStyle w:val="NormalWeb"/>
        <w:numPr>
          <w:ilvl w:val="0"/>
          <w:numId w:val="60"/>
        </w:numPr>
        <w:rPr>
          <w:sz w:val="22"/>
          <w:szCs w:val="22"/>
        </w:rPr>
      </w:pPr>
      <w:r w:rsidRPr="00956486">
        <w:rPr>
          <w:sz w:val="22"/>
          <w:szCs w:val="22"/>
        </w:rPr>
        <w:t xml:space="preserve">Joist and deck business (e.g., </w:t>
      </w:r>
      <w:r w:rsidRPr="00956486">
        <w:rPr>
          <w:rStyle w:val="Strong"/>
          <w:rFonts w:eastAsiaTheme="majorEastAsia"/>
          <w:sz w:val="22"/>
          <w:szCs w:val="22"/>
        </w:rPr>
        <w:t>Fort Payne, AL</w:t>
      </w:r>
      <w:r w:rsidRPr="00956486">
        <w:rPr>
          <w:sz w:val="22"/>
          <w:szCs w:val="22"/>
        </w:rPr>
        <w:t>) is benefiting from strategic investment in high-speed roll forming and steel line modernization.</w:t>
      </w:r>
    </w:p>
    <w:p w14:paraId="3CB9B82B" w14:textId="77777777" w:rsidR="00F515F4" w:rsidRPr="00956486" w:rsidRDefault="00F515F4" w:rsidP="00127934">
      <w:pPr>
        <w:pStyle w:val="NormalWeb"/>
        <w:numPr>
          <w:ilvl w:val="0"/>
          <w:numId w:val="60"/>
        </w:numPr>
        <w:rPr>
          <w:sz w:val="22"/>
          <w:szCs w:val="22"/>
        </w:rPr>
      </w:pPr>
      <w:r w:rsidRPr="00956486">
        <w:rPr>
          <w:sz w:val="22"/>
          <w:szCs w:val="22"/>
        </w:rPr>
        <w:t>Riverside rebar facility received layout enhancements and scheduling automation to handle increased bridge and infrastructure project demand.</w:t>
      </w:r>
    </w:p>
    <w:p w14:paraId="3BDB1287" w14:textId="77777777" w:rsidR="00F515F4" w:rsidRPr="00956486" w:rsidRDefault="00F515F4" w:rsidP="00127934">
      <w:pPr>
        <w:pStyle w:val="NormalWeb"/>
        <w:numPr>
          <w:ilvl w:val="0"/>
          <w:numId w:val="60"/>
        </w:numPr>
        <w:rPr>
          <w:sz w:val="22"/>
          <w:szCs w:val="22"/>
        </w:rPr>
      </w:pPr>
      <w:r w:rsidRPr="00956486">
        <w:rPr>
          <w:sz w:val="22"/>
          <w:szCs w:val="22"/>
        </w:rPr>
        <w:lastRenderedPageBreak/>
        <w:t>Overall focus remains on maximizing value-added output and ensuring downstream plants (like those in Alabama) are integrated tightly with melt capacity.</w:t>
      </w:r>
    </w:p>
    <w:p w14:paraId="5E6294C4" w14:textId="77777777" w:rsidR="00F515F4" w:rsidRPr="00956486" w:rsidRDefault="00F515F4" w:rsidP="00F515F4">
      <w:pPr>
        <w:pStyle w:val="NormalWeb"/>
        <w:rPr>
          <w:sz w:val="22"/>
          <w:szCs w:val="22"/>
        </w:rPr>
      </w:pPr>
      <w:r w:rsidRPr="00956486">
        <w:rPr>
          <w:rStyle w:val="Strong"/>
          <w:rFonts w:eastAsiaTheme="majorEastAsia"/>
          <w:sz w:val="22"/>
          <w:szCs w:val="22"/>
        </w:rPr>
        <w:t>Segment Performance &amp; Outlook</w:t>
      </w:r>
    </w:p>
    <w:p w14:paraId="06F2073C" w14:textId="77777777" w:rsidR="00F515F4" w:rsidRPr="00956486" w:rsidRDefault="00F515F4" w:rsidP="00127934">
      <w:pPr>
        <w:pStyle w:val="NormalWeb"/>
        <w:numPr>
          <w:ilvl w:val="0"/>
          <w:numId w:val="61"/>
        </w:numPr>
        <w:rPr>
          <w:sz w:val="22"/>
          <w:szCs w:val="22"/>
        </w:rPr>
      </w:pPr>
      <w:r w:rsidRPr="00956486">
        <w:rPr>
          <w:rStyle w:val="Strong"/>
          <w:rFonts w:eastAsiaTheme="majorEastAsia"/>
          <w:sz w:val="22"/>
          <w:szCs w:val="22"/>
        </w:rPr>
        <w:t>Steel Mills</w:t>
      </w:r>
      <w:r w:rsidRPr="00956486">
        <w:rPr>
          <w:sz w:val="22"/>
          <w:szCs w:val="22"/>
        </w:rPr>
        <w:t>:</w:t>
      </w:r>
    </w:p>
    <w:p w14:paraId="0E0C4F15" w14:textId="77777777" w:rsidR="00F515F4" w:rsidRPr="00956486" w:rsidRDefault="00F515F4" w:rsidP="00127934">
      <w:pPr>
        <w:pStyle w:val="NormalWeb"/>
        <w:numPr>
          <w:ilvl w:val="1"/>
          <w:numId w:val="61"/>
        </w:numPr>
        <w:rPr>
          <w:sz w:val="22"/>
          <w:szCs w:val="22"/>
        </w:rPr>
      </w:pPr>
      <w:r w:rsidRPr="00956486">
        <w:rPr>
          <w:sz w:val="22"/>
          <w:szCs w:val="22"/>
        </w:rPr>
        <w:t>Revenue: $5.8B</w:t>
      </w:r>
    </w:p>
    <w:p w14:paraId="09429AA5" w14:textId="77777777" w:rsidR="00F515F4" w:rsidRPr="00956486" w:rsidRDefault="00F515F4" w:rsidP="00127934">
      <w:pPr>
        <w:pStyle w:val="NormalWeb"/>
        <w:numPr>
          <w:ilvl w:val="1"/>
          <w:numId w:val="61"/>
        </w:numPr>
        <w:rPr>
          <w:sz w:val="22"/>
          <w:szCs w:val="22"/>
        </w:rPr>
      </w:pPr>
      <w:r w:rsidRPr="00956486">
        <w:rPr>
          <w:sz w:val="22"/>
          <w:szCs w:val="22"/>
        </w:rPr>
        <w:t>Operating income: $1.2B</w:t>
      </w:r>
    </w:p>
    <w:p w14:paraId="5B336064" w14:textId="77777777" w:rsidR="00F515F4" w:rsidRPr="00956486" w:rsidRDefault="00F515F4" w:rsidP="00127934">
      <w:pPr>
        <w:pStyle w:val="NormalWeb"/>
        <w:numPr>
          <w:ilvl w:val="1"/>
          <w:numId w:val="61"/>
        </w:numPr>
        <w:rPr>
          <w:sz w:val="22"/>
          <w:szCs w:val="22"/>
        </w:rPr>
      </w:pPr>
      <w:r w:rsidRPr="00956486">
        <w:rPr>
          <w:sz w:val="22"/>
          <w:szCs w:val="22"/>
        </w:rPr>
        <w:t>Plate and sheet product mix supported margin stability</w:t>
      </w:r>
    </w:p>
    <w:p w14:paraId="5D05BBDC" w14:textId="77777777" w:rsidR="00F515F4" w:rsidRPr="00956486" w:rsidRDefault="00F515F4" w:rsidP="00127934">
      <w:pPr>
        <w:pStyle w:val="NormalWeb"/>
        <w:numPr>
          <w:ilvl w:val="1"/>
          <w:numId w:val="61"/>
        </w:numPr>
        <w:rPr>
          <w:sz w:val="22"/>
          <w:szCs w:val="22"/>
        </w:rPr>
      </w:pPr>
      <w:r w:rsidRPr="00956486">
        <w:rPr>
          <w:rStyle w:val="Strong"/>
          <w:rFonts w:eastAsiaTheme="majorEastAsia"/>
          <w:sz w:val="22"/>
          <w:szCs w:val="22"/>
        </w:rPr>
        <w:t>Tuscaloosa mill</w:t>
      </w:r>
      <w:r w:rsidRPr="00956486">
        <w:rPr>
          <w:sz w:val="22"/>
          <w:szCs w:val="22"/>
        </w:rPr>
        <w:t xml:space="preserve"> highlighted among highest-performing plate assets</w:t>
      </w:r>
    </w:p>
    <w:p w14:paraId="4004D777" w14:textId="77777777" w:rsidR="00F515F4" w:rsidRPr="00956486" w:rsidRDefault="00F515F4" w:rsidP="00127934">
      <w:pPr>
        <w:pStyle w:val="NormalWeb"/>
        <w:numPr>
          <w:ilvl w:val="1"/>
          <w:numId w:val="61"/>
        </w:numPr>
        <w:rPr>
          <w:sz w:val="22"/>
          <w:szCs w:val="22"/>
        </w:rPr>
      </w:pPr>
      <w:r w:rsidRPr="00956486">
        <w:rPr>
          <w:sz w:val="22"/>
          <w:szCs w:val="22"/>
        </w:rPr>
        <w:t>Strong demand from construction equipment, transportation, and shipbuilding</w:t>
      </w:r>
    </w:p>
    <w:p w14:paraId="14CAC354" w14:textId="77777777" w:rsidR="00F515F4" w:rsidRPr="00956486" w:rsidRDefault="00F515F4" w:rsidP="00127934">
      <w:pPr>
        <w:pStyle w:val="NormalWeb"/>
        <w:numPr>
          <w:ilvl w:val="0"/>
          <w:numId w:val="61"/>
        </w:numPr>
        <w:rPr>
          <w:sz w:val="22"/>
          <w:szCs w:val="22"/>
        </w:rPr>
      </w:pPr>
      <w:r w:rsidRPr="00956486">
        <w:rPr>
          <w:rStyle w:val="Strong"/>
          <w:rFonts w:eastAsiaTheme="majorEastAsia"/>
          <w:sz w:val="22"/>
          <w:szCs w:val="22"/>
        </w:rPr>
        <w:t>Steel Products (Downstream)</w:t>
      </w:r>
      <w:r w:rsidRPr="00956486">
        <w:rPr>
          <w:sz w:val="22"/>
          <w:szCs w:val="22"/>
        </w:rPr>
        <w:t>:</w:t>
      </w:r>
    </w:p>
    <w:p w14:paraId="41B431DA" w14:textId="77777777" w:rsidR="00F515F4" w:rsidRPr="00956486" w:rsidRDefault="00F515F4" w:rsidP="00127934">
      <w:pPr>
        <w:pStyle w:val="NormalWeb"/>
        <w:numPr>
          <w:ilvl w:val="1"/>
          <w:numId w:val="61"/>
        </w:numPr>
        <w:rPr>
          <w:sz w:val="22"/>
          <w:szCs w:val="22"/>
        </w:rPr>
      </w:pPr>
      <w:r w:rsidRPr="00956486">
        <w:rPr>
          <w:sz w:val="22"/>
          <w:szCs w:val="22"/>
        </w:rPr>
        <w:t>Revenue: $2.9B</w:t>
      </w:r>
    </w:p>
    <w:p w14:paraId="38E944D9" w14:textId="77777777" w:rsidR="00F515F4" w:rsidRPr="00956486" w:rsidRDefault="00F515F4" w:rsidP="00127934">
      <w:pPr>
        <w:pStyle w:val="NormalWeb"/>
        <w:numPr>
          <w:ilvl w:val="1"/>
          <w:numId w:val="61"/>
        </w:numPr>
        <w:rPr>
          <w:sz w:val="22"/>
          <w:szCs w:val="22"/>
        </w:rPr>
      </w:pPr>
      <w:r w:rsidRPr="00956486">
        <w:rPr>
          <w:sz w:val="22"/>
          <w:szCs w:val="22"/>
        </w:rPr>
        <w:t>Operating income: $720M (up 8% YoY)</w:t>
      </w:r>
    </w:p>
    <w:p w14:paraId="68030BB3" w14:textId="77777777" w:rsidR="00F515F4" w:rsidRPr="00956486" w:rsidRDefault="00F515F4" w:rsidP="00127934">
      <w:pPr>
        <w:pStyle w:val="NormalWeb"/>
        <w:numPr>
          <w:ilvl w:val="1"/>
          <w:numId w:val="61"/>
        </w:numPr>
        <w:rPr>
          <w:sz w:val="22"/>
          <w:szCs w:val="22"/>
        </w:rPr>
      </w:pPr>
      <w:r w:rsidRPr="00956486">
        <w:rPr>
          <w:sz w:val="22"/>
          <w:szCs w:val="22"/>
        </w:rPr>
        <w:t>Includes joists, decking, rebar, fabricated steel, tubing, and metal buildings</w:t>
      </w:r>
    </w:p>
    <w:p w14:paraId="57E4CE2F" w14:textId="77777777" w:rsidR="00F515F4" w:rsidRPr="00956486" w:rsidRDefault="00F515F4" w:rsidP="00127934">
      <w:pPr>
        <w:pStyle w:val="NormalWeb"/>
        <w:numPr>
          <w:ilvl w:val="1"/>
          <w:numId w:val="61"/>
        </w:numPr>
        <w:rPr>
          <w:sz w:val="22"/>
          <w:szCs w:val="22"/>
        </w:rPr>
      </w:pPr>
      <w:r w:rsidRPr="00956486">
        <w:rPr>
          <w:rStyle w:val="Strong"/>
          <w:rFonts w:eastAsiaTheme="majorEastAsia"/>
          <w:sz w:val="22"/>
          <w:szCs w:val="22"/>
        </w:rPr>
        <w:t>Alabama facilities</w:t>
      </w:r>
      <w:r w:rsidRPr="00956486">
        <w:rPr>
          <w:sz w:val="22"/>
          <w:szCs w:val="22"/>
        </w:rPr>
        <w:t xml:space="preserve"> </w:t>
      </w:r>
      <w:proofErr w:type="gramStart"/>
      <w:r w:rsidRPr="00956486">
        <w:rPr>
          <w:sz w:val="22"/>
          <w:szCs w:val="22"/>
        </w:rPr>
        <w:t>key</w:t>
      </w:r>
      <w:proofErr w:type="gramEnd"/>
      <w:r w:rsidRPr="00956486">
        <w:rPr>
          <w:sz w:val="22"/>
          <w:szCs w:val="22"/>
        </w:rPr>
        <w:t xml:space="preserve"> contributors to fabricated steel and construction product volume</w:t>
      </w:r>
    </w:p>
    <w:p w14:paraId="7FC6BA16" w14:textId="77777777" w:rsidR="00F515F4" w:rsidRPr="00956486" w:rsidRDefault="00F515F4" w:rsidP="00127934">
      <w:pPr>
        <w:pStyle w:val="NormalWeb"/>
        <w:numPr>
          <w:ilvl w:val="1"/>
          <w:numId w:val="61"/>
        </w:numPr>
        <w:rPr>
          <w:sz w:val="22"/>
          <w:szCs w:val="22"/>
        </w:rPr>
      </w:pPr>
      <w:r w:rsidRPr="00956486">
        <w:rPr>
          <w:sz w:val="22"/>
          <w:szCs w:val="22"/>
        </w:rPr>
        <w:t>Backlog for fabricated steel products increased QoQ, with firm visibility through Q4</w:t>
      </w:r>
    </w:p>
    <w:p w14:paraId="05DDD61B" w14:textId="77777777" w:rsidR="00F515F4" w:rsidRPr="00956486" w:rsidRDefault="00F515F4" w:rsidP="00127934">
      <w:pPr>
        <w:pStyle w:val="NormalWeb"/>
        <w:numPr>
          <w:ilvl w:val="0"/>
          <w:numId w:val="61"/>
        </w:numPr>
        <w:rPr>
          <w:sz w:val="22"/>
          <w:szCs w:val="22"/>
        </w:rPr>
      </w:pPr>
      <w:r w:rsidRPr="00956486">
        <w:rPr>
          <w:rStyle w:val="Strong"/>
          <w:rFonts w:eastAsiaTheme="majorEastAsia"/>
          <w:sz w:val="22"/>
          <w:szCs w:val="22"/>
        </w:rPr>
        <w:t>Raw Materials</w:t>
      </w:r>
      <w:r w:rsidRPr="00956486">
        <w:rPr>
          <w:sz w:val="22"/>
          <w:szCs w:val="22"/>
        </w:rPr>
        <w:t>:</w:t>
      </w:r>
    </w:p>
    <w:p w14:paraId="2A6B83E1" w14:textId="77777777" w:rsidR="00F515F4" w:rsidRPr="00956486" w:rsidRDefault="00F515F4" w:rsidP="00127934">
      <w:pPr>
        <w:pStyle w:val="NormalWeb"/>
        <w:numPr>
          <w:ilvl w:val="1"/>
          <w:numId w:val="61"/>
        </w:numPr>
        <w:rPr>
          <w:sz w:val="22"/>
          <w:szCs w:val="22"/>
        </w:rPr>
      </w:pPr>
      <w:r w:rsidRPr="00956486">
        <w:rPr>
          <w:sz w:val="22"/>
          <w:szCs w:val="22"/>
        </w:rPr>
        <w:t>Revenue: $860M</w:t>
      </w:r>
    </w:p>
    <w:p w14:paraId="79AF1FCF" w14:textId="77777777" w:rsidR="00F515F4" w:rsidRPr="00956486" w:rsidRDefault="00F515F4" w:rsidP="00127934">
      <w:pPr>
        <w:pStyle w:val="NormalWeb"/>
        <w:numPr>
          <w:ilvl w:val="1"/>
          <w:numId w:val="61"/>
        </w:numPr>
        <w:rPr>
          <w:sz w:val="22"/>
          <w:szCs w:val="22"/>
        </w:rPr>
      </w:pPr>
      <w:r w:rsidRPr="00956486">
        <w:rPr>
          <w:sz w:val="22"/>
          <w:szCs w:val="22"/>
        </w:rPr>
        <w:t>Operating income: $132M</w:t>
      </w:r>
    </w:p>
    <w:p w14:paraId="4E643691" w14:textId="77777777" w:rsidR="00F515F4" w:rsidRPr="00956486" w:rsidRDefault="00F515F4" w:rsidP="00127934">
      <w:pPr>
        <w:pStyle w:val="NormalWeb"/>
        <w:numPr>
          <w:ilvl w:val="1"/>
          <w:numId w:val="61"/>
        </w:numPr>
        <w:rPr>
          <w:sz w:val="22"/>
          <w:szCs w:val="22"/>
        </w:rPr>
      </w:pPr>
      <w:r w:rsidRPr="00956486">
        <w:rPr>
          <w:sz w:val="22"/>
          <w:szCs w:val="22"/>
        </w:rPr>
        <w:t>Scrap pricing moderated; internal recycling operations helped mitigate volatility</w:t>
      </w:r>
    </w:p>
    <w:p w14:paraId="758E47F1" w14:textId="77777777" w:rsidR="00F515F4" w:rsidRPr="00956486" w:rsidRDefault="00F515F4" w:rsidP="00127934">
      <w:pPr>
        <w:pStyle w:val="NormalWeb"/>
        <w:numPr>
          <w:ilvl w:val="1"/>
          <w:numId w:val="61"/>
        </w:numPr>
        <w:rPr>
          <w:sz w:val="22"/>
          <w:szCs w:val="22"/>
        </w:rPr>
      </w:pPr>
      <w:r w:rsidRPr="00956486">
        <w:rPr>
          <w:sz w:val="22"/>
          <w:szCs w:val="22"/>
        </w:rPr>
        <w:t xml:space="preserve">DRI facilities and scrap brokerage operations </w:t>
      </w:r>
      <w:proofErr w:type="gramStart"/>
      <w:r w:rsidRPr="00956486">
        <w:rPr>
          <w:sz w:val="22"/>
          <w:szCs w:val="22"/>
        </w:rPr>
        <w:t>operated at</w:t>
      </w:r>
      <w:proofErr w:type="gramEnd"/>
      <w:r w:rsidRPr="00956486">
        <w:rPr>
          <w:sz w:val="22"/>
          <w:szCs w:val="22"/>
        </w:rPr>
        <w:t xml:space="preserve"> near full capacity</w:t>
      </w:r>
    </w:p>
    <w:p w14:paraId="6E6ADEA3" w14:textId="77777777" w:rsidR="00F515F4" w:rsidRPr="00956486" w:rsidRDefault="00F515F4" w:rsidP="00127934">
      <w:pPr>
        <w:pStyle w:val="NormalWeb"/>
        <w:numPr>
          <w:ilvl w:val="0"/>
          <w:numId w:val="61"/>
        </w:numPr>
        <w:rPr>
          <w:sz w:val="22"/>
          <w:szCs w:val="22"/>
        </w:rPr>
      </w:pPr>
      <w:r w:rsidRPr="00956486">
        <w:rPr>
          <w:rStyle w:val="Strong"/>
          <w:rFonts w:eastAsiaTheme="majorEastAsia"/>
          <w:sz w:val="22"/>
          <w:szCs w:val="22"/>
        </w:rPr>
        <w:t>Outlook</w:t>
      </w:r>
      <w:r w:rsidRPr="00956486">
        <w:rPr>
          <w:sz w:val="22"/>
          <w:szCs w:val="22"/>
        </w:rPr>
        <w:t>:</w:t>
      </w:r>
    </w:p>
    <w:p w14:paraId="14EBF73F" w14:textId="77777777" w:rsidR="00F515F4" w:rsidRPr="00956486" w:rsidRDefault="00F515F4" w:rsidP="00127934">
      <w:pPr>
        <w:pStyle w:val="NormalWeb"/>
        <w:numPr>
          <w:ilvl w:val="1"/>
          <w:numId w:val="61"/>
        </w:numPr>
        <w:rPr>
          <w:sz w:val="22"/>
          <w:szCs w:val="22"/>
        </w:rPr>
      </w:pPr>
      <w:r w:rsidRPr="00956486">
        <w:rPr>
          <w:sz w:val="22"/>
          <w:szCs w:val="22"/>
        </w:rPr>
        <w:t>Q3 earnings expected to be in line with or slightly above Q2</w:t>
      </w:r>
    </w:p>
    <w:p w14:paraId="3B78F23F" w14:textId="77777777" w:rsidR="00F515F4" w:rsidRPr="00956486" w:rsidRDefault="00F515F4" w:rsidP="00127934">
      <w:pPr>
        <w:pStyle w:val="NormalWeb"/>
        <w:numPr>
          <w:ilvl w:val="1"/>
          <w:numId w:val="61"/>
        </w:numPr>
        <w:rPr>
          <w:sz w:val="22"/>
          <w:szCs w:val="22"/>
        </w:rPr>
      </w:pPr>
      <w:r w:rsidRPr="00956486">
        <w:rPr>
          <w:sz w:val="22"/>
          <w:szCs w:val="22"/>
        </w:rPr>
        <w:t>Non-residential construction remains strong, especially in the Southeast U.S.</w:t>
      </w:r>
    </w:p>
    <w:p w14:paraId="29F223DE" w14:textId="77777777" w:rsidR="00F515F4" w:rsidRPr="00956486" w:rsidRDefault="00F515F4" w:rsidP="00127934">
      <w:pPr>
        <w:pStyle w:val="NormalWeb"/>
        <w:numPr>
          <w:ilvl w:val="1"/>
          <w:numId w:val="61"/>
        </w:numPr>
        <w:rPr>
          <w:sz w:val="22"/>
          <w:szCs w:val="22"/>
        </w:rPr>
      </w:pPr>
      <w:r w:rsidRPr="00956486">
        <w:rPr>
          <w:sz w:val="22"/>
          <w:szCs w:val="22"/>
        </w:rPr>
        <w:t>Industrial and energy end-markets (wind towers, transmission, marine) provide tailwinds for plate and tubular products</w:t>
      </w:r>
    </w:p>
    <w:p w14:paraId="4956D257" w14:textId="77777777" w:rsidR="00F515F4" w:rsidRPr="00956486" w:rsidRDefault="00F515F4" w:rsidP="00127934">
      <w:pPr>
        <w:pStyle w:val="NormalWeb"/>
        <w:numPr>
          <w:ilvl w:val="1"/>
          <w:numId w:val="61"/>
        </w:numPr>
        <w:rPr>
          <w:sz w:val="22"/>
          <w:szCs w:val="22"/>
        </w:rPr>
      </w:pPr>
      <w:r w:rsidRPr="00956486">
        <w:rPr>
          <w:sz w:val="22"/>
          <w:szCs w:val="22"/>
        </w:rPr>
        <w:t xml:space="preserve">Nucor reiterated long-term </w:t>
      </w:r>
      <w:proofErr w:type="spellStart"/>
      <w:r w:rsidRPr="00956486">
        <w:rPr>
          <w:sz w:val="22"/>
          <w:szCs w:val="22"/>
        </w:rPr>
        <w:t>CapEx</w:t>
      </w:r>
      <w:proofErr w:type="spellEnd"/>
      <w:r w:rsidRPr="00956486">
        <w:rPr>
          <w:sz w:val="22"/>
          <w:szCs w:val="22"/>
        </w:rPr>
        <w:t xml:space="preserve"> and downstream expansion plans, citing </w:t>
      </w:r>
      <w:r w:rsidRPr="00956486">
        <w:rPr>
          <w:rStyle w:val="Strong"/>
          <w:rFonts w:eastAsiaTheme="majorEastAsia"/>
          <w:sz w:val="22"/>
          <w:szCs w:val="22"/>
        </w:rPr>
        <w:t>regional growth in states like Alabama</w:t>
      </w:r>
      <w:r w:rsidRPr="00956486">
        <w:rPr>
          <w:sz w:val="22"/>
          <w:szCs w:val="22"/>
        </w:rPr>
        <w:t xml:space="preserve"> as a driver of logistical and cost advantages</w:t>
      </w:r>
    </w:p>
    <w:p w14:paraId="4DB9ABC9" w14:textId="77777777" w:rsidR="00F515F4" w:rsidRPr="00956486" w:rsidRDefault="00F515F4" w:rsidP="2535092B">
      <w:pPr>
        <w:rPr>
          <w:rFonts w:ascii="Times New Roman" w:eastAsia="Times New Roman" w:hAnsi="Times New Roman" w:cs="Times New Roman"/>
          <w:color w:val="000000" w:themeColor="text1"/>
        </w:rPr>
      </w:pPr>
    </w:p>
    <w:p w14:paraId="230FD6A0" w14:textId="77777777" w:rsidR="00F515F4" w:rsidRPr="00BC0D8E" w:rsidRDefault="00F515F4" w:rsidP="2535092B">
      <w:pPr>
        <w:rPr>
          <w:rFonts w:ascii="Times New Roman" w:hAnsi="Times New Roman" w:cs="Times New Roman"/>
        </w:rPr>
      </w:pPr>
    </w:p>
    <w:p w14:paraId="2A28E3C3" w14:textId="77777777" w:rsidR="008B733A" w:rsidRPr="00BC0D8E" w:rsidRDefault="34354836" w:rsidP="005757E2">
      <w:pPr>
        <w:pStyle w:val="Heading2"/>
        <w:rPr>
          <w:rFonts w:cs="Times New Roman"/>
        </w:rPr>
      </w:pPr>
      <w:bookmarkStart w:id="81" w:name="_Toc147824682"/>
      <w:bookmarkStart w:id="82" w:name="_Toc212796767"/>
      <w:r w:rsidRPr="2535092B">
        <w:rPr>
          <w:rFonts w:cs="Times New Roman"/>
        </w:rPr>
        <w:t>Olin Corporation (</w:t>
      </w:r>
      <w:proofErr w:type="gramStart"/>
      <w:r w:rsidRPr="2535092B">
        <w:rPr>
          <w:rFonts w:cs="Times New Roman"/>
        </w:rPr>
        <w:t>NYSE:OLN</w:t>
      </w:r>
      <w:proofErr w:type="gramEnd"/>
      <w:r w:rsidRPr="2535092B">
        <w:rPr>
          <w:rFonts w:cs="Times New Roman"/>
        </w:rPr>
        <w:t>)</w:t>
      </w:r>
      <w:bookmarkEnd w:id="81"/>
      <w:bookmarkEnd w:id="82"/>
      <w:r w:rsidR="008B733A">
        <w:tab/>
      </w:r>
    </w:p>
    <w:p w14:paraId="7DB6663C" w14:textId="0E79D74E" w:rsidR="008B733A" w:rsidRPr="00BC0D8E" w:rsidRDefault="006E300D" w:rsidP="2535092B">
      <w:pPr>
        <w:pStyle w:val="Heading3"/>
        <w:rPr>
          <w:rFonts w:cs="Times New Roman"/>
          <w:color w:val="00B050"/>
        </w:rPr>
      </w:pPr>
      <w:bookmarkStart w:id="83" w:name="_Toc147824683"/>
      <w:bookmarkStart w:id="84" w:name="_Toc212796768"/>
      <w:r w:rsidRPr="35ADD9A1">
        <w:rPr>
          <w:rFonts w:cs="Times New Roman"/>
        </w:rPr>
        <w:t xml:space="preserve">Outlook: </w:t>
      </w:r>
      <w:bookmarkEnd w:id="83"/>
      <w:r w:rsidR="00CE1784" w:rsidRPr="00AF2939">
        <w:rPr>
          <w:rFonts w:cs="Times New Roman"/>
          <w:color w:val="00B050"/>
        </w:rPr>
        <w:t>Positive</w:t>
      </w:r>
      <w:bookmarkEnd w:id="84"/>
    </w:p>
    <w:p w14:paraId="597D070D" w14:textId="6D4F92D0" w:rsidR="008B733A" w:rsidRPr="00BC0D8E" w:rsidRDefault="006E300D" w:rsidP="005757E2">
      <w:pPr>
        <w:pStyle w:val="Heading3"/>
        <w:rPr>
          <w:rFonts w:cs="Times New Roman"/>
        </w:rPr>
      </w:pPr>
      <w:bookmarkStart w:id="85" w:name="_Toc147824684"/>
      <w:bookmarkStart w:id="86" w:name="_Toc212796769"/>
      <w:r w:rsidRPr="35ADD9A1">
        <w:rPr>
          <w:rFonts w:cs="Times New Roman"/>
        </w:rPr>
        <w:t xml:space="preserve">AL Outlook: </w:t>
      </w:r>
      <w:r w:rsidR="613AF6B8" w:rsidRPr="35ADD9A1">
        <w:rPr>
          <w:rFonts w:cs="Times New Roman"/>
          <w:color w:val="00B050"/>
        </w:rPr>
        <w:t>Positive</w:t>
      </w:r>
      <w:bookmarkEnd w:id="85"/>
      <w:bookmarkEnd w:id="86"/>
    </w:p>
    <w:p w14:paraId="2C847649" w14:textId="240936CD" w:rsidR="008B733A" w:rsidRPr="00BC0D8E" w:rsidRDefault="006E300D" w:rsidP="008B733A">
      <w:pPr>
        <w:rPr>
          <w:rFonts w:ascii="Times New Roman" w:hAnsi="Times New Roman" w:cs="Times New Roman"/>
        </w:rPr>
      </w:pPr>
      <w:r w:rsidRPr="35ADD9A1">
        <w:rPr>
          <w:rFonts w:ascii="Times New Roman" w:hAnsi="Times New Roman" w:cs="Times New Roman"/>
          <w:b/>
          <w:bCs/>
        </w:rPr>
        <w:t>Recommended Action:</w:t>
      </w:r>
      <w:r w:rsidRPr="35ADD9A1">
        <w:rPr>
          <w:rFonts w:ascii="Times New Roman" w:hAnsi="Times New Roman" w:cs="Times New Roman"/>
        </w:rPr>
        <w:t xml:space="preserve"> </w:t>
      </w:r>
      <w:r w:rsidR="0075184D" w:rsidRPr="00AF2939">
        <w:rPr>
          <w:rFonts w:ascii="Times New Roman" w:hAnsi="Times New Roman" w:cs="Times New Roman"/>
        </w:rPr>
        <w:t>Track high-return capital projects at the McIntosh and Mobile chlor-alkali facilities, as they’re receiving reliability upgrades and handling core Gulf Coast demand.</w:t>
      </w:r>
    </w:p>
    <w:p w14:paraId="6BA9B8AF" w14:textId="16DB0F5F" w:rsidR="008B733A" w:rsidRPr="00E263BE" w:rsidRDefault="5BDB1C2A" w:rsidP="2535092B">
      <w:pPr>
        <w:rPr>
          <w:rFonts w:ascii="Times New Roman" w:eastAsia="Times New Roman" w:hAnsi="Times New Roman" w:cs="Times New Roman"/>
          <w:b/>
          <w:bCs/>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xml:space="preserve">: Mobile: </w:t>
      </w:r>
      <w:proofErr w:type="spellStart"/>
      <w:r w:rsidRPr="2535092B">
        <w:rPr>
          <w:rFonts w:ascii="Times New Roman" w:eastAsia="Times New Roman" w:hAnsi="Times New Roman" w:cs="Times New Roman"/>
          <w:color w:val="000000" w:themeColor="text1"/>
        </w:rPr>
        <w:t>Chlor</w:t>
      </w:r>
      <w:proofErr w:type="spellEnd"/>
      <w:r w:rsidRPr="2535092B">
        <w:rPr>
          <w:rFonts w:ascii="Times New Roman" w:eastAsia="Times New Roman" w:hAnsi="Times New Roman" w:cs="Times New Roman"/>
          <w:color w:val="000000" w:themeColor="text1"/>
        </w:rPr>
        <w:t xml:space="preserve"> Alkali Facility; McIntosh: </w:t>
      </w:r>
      <w:proofErr w:type="spellStart"/>
      <w:r w:rsidRPr="2535092B">
        <w:rPr>
          <w:rFonts w:ascii="Times New Roman" w:eastAsia="Times New Roman" w:hAnsi="Times New Roman" w:cs="Times New Roman"/>
          <w:color w:val="000000" w:themeColor="text1"/>
        </w:rPr>
        <w:t>Chlor</w:t>
      </w:r>
      <w:proofErr w:type="spellEnd"/>
      <w:r w:rsidRPr="2535092B">
        <w:rPr>
          <w:rFonts w:ascii="Times New Roman" w:eastAsia="Times New Roman" w:hAnsi="Times New Roman" w:cs="Times New Roman"/>
          <w:color w:val="000000" w:themeColor="text1"/>
        </w:rPr>
        <w:t xml:space="preserve"> Alkali Facility</w:t>
      </w:r>
      <w:r w:rsidR="20D7131C" w:rsidRPr="2535092B">
        <w:rPr>
          <w:rFonts w:ascii="Times New Roman" w:eastAsia="Times New Roman" w:hAnsi="Times New Roman" w:cs="Times New Roman"/>
          <w:b/>
          <w:bCs/>
        </w:rPr>
        <w:t xml:space="preserve"> </w:t>
      </w:r>
    </w:p>
    <w:p w14:paraId="501FB3C6" w14:textId="77777777" w:rsidR="00A64E71" w:rsidRPr="00956486" w:rsidRDefault="00A64E71" w:rsidP="00A64E71">
      <w:pPr>
        <w:pStyle w:val="NormalWeb"/>
        <w:rPr>
          <w:sz w:val="22"/>
          <w:szCs w:val="22"/>
        </w:rPr>
      </w:pPr>
      <w:r w:rsidRPr="00956486">
        <w:rPr>
          <w:rStyle w:val="Strong"/>
          <w:rFonts w:eastAsiaTheme="majorEastAsia"/>
          <w:sz w:val="22"/>
          <w:szCs w:val="22"/>
        </w:rPr>
        <w:t>Key Takeaways</w:t>
      </w:r>
    </w:p>
    <w:p w14:paraId="6B4081C0" w14:textId="77777777" w:rsidR="00A64E71" w:rsidRPr="00956486" w:rsidRDefault="00A64E71" w:rsidP="00127934">
      <w:pPr>
        <w:pStyle w:val="NormalWeb"/>
        <w:numPr>
          <w:ilvl w:val="0"/>
          <w:numId w:val="62"/>
        </w:numPr>
        <w:rPr>
          <w:sz w:val="22"/>
          <w:szCs w:val="22"/>
        </w:rPr>
      </w:pPr>
      <w:r w:rsidRPr="00956486">
        <w:rPr>
          <w:sz w:val="22"/>
          <w:szCs w:val="22"/>
        </w:rPr>
        <w:t>Olin reported improved sequential results in Q2 2025, with EBITDA and margins rising across all three business segments, driven by better pricing and demand stabilization.</w:t>
      </w:r>
    </w:p>
    <w:p w14:paraId="24BEA640" w14:textId="77777777" w:rsidR="00A64E71" w:rsidRPr="00956486" w:rsidRDefault="00A64E71" w:rsidP="00127934">
      <w:pPr>
        <w:pStyle w:val="NormalWeb"/>
        <w:numPr>
          <w:ilvl w:val="0"/>
          <w:numId w:val="62"/>
        </w:numPr>
        <w:rPr>
          <w:sz w:val="22"/>
          <w:szCs w:val="22"/>
        </w:rPr>
      </w:pPr>
      <w:proofErr w:type="spellStart"/>
      <w:r w:rsidRPr="00956486">
        <w:rPr>
          <w:sz w:val="22"/>
          <w:szCs w:val="22"/>
        </w:rPr>
        <w:t>Chlor</w:t>
      </w:r>
      <w:proofErr w:type="spellEnd"/>
      <w:r w:rsidRPr="00956486">
        <w:rPr>
          <w:sz w:val="22"/>
          <w:szCs w:val="22"/>
        </w:rPr>
        <w:t xml:space="preserve"> Alkali performance strengthened, aided by improved caustic soda pricing, stronger epoxy demand, and cost optimization.</w:t>
      </w:r>
    </w:p>
    <w:p w14:paraId="40FCB6B3" w14:textId="77777777" w:rsidR="00A64E71" w:rsidRPr="00956486" w:rsidRDefault="00A64E71" w:rsidP="00127934">
      <w:pPr>
        <w:pStyle w:val="NormalWeb"/>
        <w:numPr>
          <w:ilvl w:val="0"/>
          <w:numId w:val="62"/>
        </w:numPr>
        <w:rPr>
          <w:sz w:val="22"/>
          <w:szCs w:val="22"/>
        </w:rPr>
      </w:pPr>
      <w:r w:rsidRPr="00956486">
        <w:rPr>
          <w:sz w:val="22"/>
          <w:szCs w:val="22"/>
        </w:rPr>
        <w:lastRenderedPageBreak/>
        <w:t xml:space="preserve">Management reaffirmed FY2025 guidance and highlighted the </w:t>
      </w:r>
      <w:r w:rsidRPr="00956486">
        <w:rPr>
          <w:rStyle w:val="Strong"/>
          <w:rFonts w:eastAsiaTheme="majorEastAsia"/>
          <w:sz w:val="22"/>
          <w:szCs w:val="22"/>
        </w:rPr>
        <w:t>Mobile and McIntosh, Alabama chlor-alkali plants</w:t>
      </w:r>
      <w:r w:rsidRPr="00956486">
        <w:rPr>
          <w:sz w:val="22"/>
          <w:szCs w:val="22"/>
        </w:rPr>
        <w:t xml:space="preserve"> as core assets supporting Gulf Coast reliability and integration.</w:t>
      </w:r>
    </w:p>
    <w:p w14:paraId="39F9B583" w14:textId="77777777" w:rsidR="00A64E71" w:rsidRPr="00956486" w:rsidRDefault="00A64E71" w:rsidP="00127934">
      <w:pPr>
        <w:pStyle w:val="NormalWeb"/>
        <w:numPr>
          <w:ilvl w:val="0"/>
          <w:numId w:val="62"/>
        </w:numPr>
        <w:rPr>
          <w:sz w:val="22"/>
          <w:szCs w:val="22"/>
        </w:rPr>
      </w:pPr>
      <w:r w:rsidRPr="00956486">
        <w:rPr>
          <w:sz w:val="22"/>
          <w:szCs w:val="22"/>
        </w:rPr>
        <w:t xml:space="preserve">Strategic priorities remain focused on </w:t>
      </w:r>
      <w:r w:rsidRPr="00956486">
        <w:rPr>
          <w:rStyle w:val="Strong"/>
          <w:rFonts w:eastAsiaTheme="majorEastAsia"/>
          <w:sz w:val="22"/>
          <w:szCs w:val="22"/>
        </w:rPr>
        <w:t>value over volume</w:t>
      </w:r>
      <w:r w:rsidRPr="00956486">
        <w:rPr>
          <w:sz w:val="22"/>
          <w:szCs w:val="22"/>
        </w:rPr>
        <w:t>, including asset rationalization, disciplined contract structuring, and avoiding low-margin volume.</w:t>
      </w:r>
    </w:p>
    <w:p w14:paraId="3BB53D2E" w14:textId="77777777" w:rsidR="00A64E71" w:rsidRPr="00956486" w:rsidRDefault="00A64E71" w:rsidP="00127934">
      <w:pPr>
        <w:pStyle w:val="NormalWeb"/>
        <w:numPr>
          <w:ilvl w:val="0"/>
          <w:numId w:val="62"/>
        </w:numPr>
        <w:rPr>
          <w:sz w:val="22"/>
          <w:szCs w:val="22"/>
        </w:rPr>
      </w:pPr>
      <w:r w:rsidRPr="00956486">
        <w:rPr>
          <w:sz w:val="22"/>
          <w:szCs w:val="22"/>
        </w:rPr>
        <w:t xml:space="preserve">Free cash </w:t>
      </w:r>
      <w:proofErr w:type="gramStart"/>
      <w:r w:rsidRPr="00956486">
        <w:rPr>
          <w:sz w:val="22"/>
          <w:szCs w:val="22"/>
        </w:rPr>
        <w:t>flow generation</w:t>
      </w:r>
      <w:proofErr w:type="gramEnd"/>
      <w:r w:rsidRPr="00956486">
        <w:rPr>
          <w:sz w:val="22"/>
          <w:szCs w:val="22"/>
        </w:rPr>
        <w:t xml:space="preserve"> was strong, supporting $175 million in share repurchases and over $300 million in debt reduction YTD.</w:t>
      </w:r>
    </w:p>
    <w:p w14:paraId="32F8D857" w14:textId="77777777" w:rsidR="00A64E71" w:rsidRPr="00956486" w:rsidRDefault="00A64E71" w:rsidP="00127934">
      <w:pPr>
        <w:pStyle w:val="NormalWeb"/>
        <w:numPr>
          <w:ilvl w:val="0"/>
          <w:numId w:val="62"/>
        </w:numPr>
        <w:rPr>
          <w:sz w:val="22"/>
          <w:szCs w:val="22"/>
        </w:rPr>
      </w:pPr>
      <w:r w:rsidRPr="00956486">
        <w:rPr>
          <w:sz w:val="22"/>
          <w:szCs w:val="22"/>
        </w:rPr>
        <w:t>Capital allocation will continue to favor shareholder returns, high-return growth investments, and cost reduction initiatives — especially in high-utilization sites like those in Alabama.</w:t>
      </w:r>
    </w:p>
    <w:p w14:paraId="0F905827" w14:textId="77777777" w:rsidR="00A64E71" w:rsidRPr="00956486" w:rsidRDefault="00A64E71" w:rsidP="00A64E71">
      <w:pPr>
        <w:pStyle w:val="NormalWeb"/>
        <w:rPr>
          <w:sz w:val="22"/>
          <w:szCs w:val="22"/>
        </w:rPr>
      </w:pPr>
      <w:r w:rsidRPr="00956486">
        <w:rPr>
          <w:rStyle w:val="Strong"/>
          <w:rFonts w:eastAsiaTheme="majorEastAsia"/>
          <w:sz w:val="22"/>
          <w:szCs w:val="22"/>
        </w:rPr>
        <w:t>Financial Highlights</w:t>
      </w:r>
    </w:p>
    <w:p w14:paraId="2F927BC7" w14:textId="77777777" w:rsidR="00A64E71" w:rsidRPr="00956486" w:rsidRDefault="00A64E71" w:rsidP="00127934">
      <w:pPr>
        <w:pStyle w:val="NormalWeb"/>
        <w:numPr>
          <w:ilvl w:val="0"/>
          <w:numId w:val="63"/>
        </w:numPr>
        <w:rPr>
          <w:sz w:val="22"/>
          <w:szCs w:val="22"/>
        </w:rPr>
      </w:pPr>
      <w:r w:rsidRPr="00956486">
        <w:rPr>
          <w:sz w:val="22"/>
          <w:szCs w:val="22"/>
        </w:rPr>
        <w:t xml:space="preserve">Revenue: </w:t>
      </w:r>
      <w:r w:rsidRPr="00956486">
        <w:rPr>
          <w:rStyle w:val="Strong"/>
          <w:rFonts w:eastAsiaTheme="majorEastAsia"/>
          <w:sz w:val="22"/>
          <w:szCs w:val="22"/>
        </w:rPr>
        <w:t>$2.10 billion</w:t>
      </w:r>
      <w:r w:rsidRPr="00956486">
        <w:rPr>
          <w:sz w:val="22"/>
          <w:szCs w:val="22"/>
        </w:rPr>
        <w:t>, flat YoY, up 6% sequentially.</w:t>
      </w:r>
    </w:p>
    <w:p w14:paraId="21A35032" w14:textId="77777777" w:rsidR="00A64E71" w:rsidRPr="00956486" w:rsidRDefault="00A64E71" w:rsidP="00127934">
      <w:pPr>
        <w:pStyle w:val="NormalWeb"/>
        <w:numPr>
          <w:ilvl w:val="0"/>
          <w:numId w:val="63"/>
        </w:numPr>
        <w:rPr>
          <w:sz w:val="22"/>
          <w:szCs w:val="22"/>
        </w:rPr>
      </w:pPr>
      <w:r w:rsidRPr="00956486">
        <w:rPr>
          <w:sz w:val="22"/>
          <w:szCs w:val="22"/>
        </w:rPr>
        <w:t xml:space="preserve">Net income: </w:t>
      </w:r>
      <w:r w:rsidRPr="00956486">
        <w:rPr>
          <w:rStyle w:val="Strong"/>
          <w:rFonts w:eastAsiaTheme="majorEastAsia"/>
          <w:sz w:val="22"/>
          <w:szCs w:val="22"/>
        </w:rPr>
        <w:t>$191 million</w:t>
      </w:r>
      <w:r w:rsidRPr="00956486">
        <w:rPr>
          <w:sz w:val="22"/>
          <w:szCs w:val="22"/>
        </w:rPr>
        <w:t xml:space="preserve"> or </w:t>
      </w:r>
      <w:r w:rsidRPr="00956486">
        <w:rPr>
          <w:rStyle w:val="Strong"/>
          <w:rFonts w:eastAsiaTheme="majorEastAsia"/>
          <w:sz w:val="22"/>
          <w:szCs w:val="22"/>
        </w:rPr>
        <w:t>$1.43 per diluted share</w:t>
      </w:r>
      <w:r w:rsidRPr="00956486">
        <w:rPr>
          <w:sz w:val="22"/>
          <w:szCs w:val="22"/>
        </w:rPr>
        <w:t>, up from $1.12 in Q1 2025.</w:t>
      </w:r>
    </w:p>
    <w:p w14:paraId="11484BE8" w14:textId="77777777" w:rsidR="00A64E71" w:rsidRPr="00956486" w:rsidRDefault="00A64E71" w:rsidP="00127934">
      <w:pPr>
        <w:pStyle w:val="NormalWeb"/>
        <w:numPr>
          <w:ilvl w:val="0"/>
          <w:numId w:val="63"/>
        </w:numPr>
        <w:rPr>
          <w:sz w:val="22"/>
          <w:szCs w:val="22"/>
        </w:rPr>
      </w:pPr>
      <w:r w:rsidRPr="00956486">
        <w:rPr>
          <w:sz w:val="22"/>
          <w:szCs w:val="22"/>
        </w:rPr>
        <w:t xml:space="preserve">Adjusted EBITDA: </w:t>
      </w:r>
      <w:r w:rsidRPr="00956486">
        <w:rPr>
          <w:rStyle w:val="Strong"/>
          <w:rFonts w:eastAsiaTheme="majorEastAsia"/>
          <w:sz w:val="22"/>
          <w:szCs w:val="22"/>
        </w:rPr>
        <w:t>$447 million</w:t>
      </w:r>
      <w:r w:rsidRPr="00956486">
        <w:rPr>
          <w:sz w:val="22"/>
          <w:szCs w:val="22"/>
        </w:rPr>
        <w:t>, up 9% QoQ and flat YoY.</w:t>
      </w:r>
    </w:p>
    <w:p w14:paraId="1D94D089" w14:textId="77777777" w:rsidR="00A64E71" w:rsidRPr="00956486" w:rsidRDefault="00A64E71" w:rsidP="00127934">
      <w:pPr>
        <w:pStyle w:val="NormalWeb"/>
        <w:numPr>
          <w:ilvl w:val="0"/>
          <w:numId w:val="63"/>
        </w:numPr>
        <w:rPr>
          <w:sz w:val="22"/>
          <w:szCs w:val="22"/>
        </w:rPr>
      </w:pPr>
      <w:r w:rsidRPr="00956486">
        <w:rPr>
          <w:sz w:val="22"/>
          <w:szCs w:val="22"/>
        </w:rPr>
        <w:t xml:space="preserve">Free cash flow: </w:t>
      </w:r>
      <w:r w:rsidRPr="00956486">
        <w:rPr>
          <w:rStyle w:val="Strong"/>
          <w:rFonts w:eastAsiaTheme="majorEastAsia"/>
          <w:sz w:val="22"/>
          <w:szCs w:val="22"/>
        </w:rPr>
        <w:t>$280 million</w:t>
      </w:r>
      <w:r w:rsidRPr="00956486">
        <w:rPr>
          <w:sz w:val="22"/>
          <w:szCs w:val="22"/>
        </w:rPr>
        <w:t xml:space="preserve">, driven by working capital improvements and lower </w:t>
      </w:r>
      <w:proofErr w:type="spellStart"/>
      <w:r w:rsidRPr="00956486">
        <w:rPr>
          <w:sz w:val="22"/>
          <w:szCs w:val="22"/>
        </w:rPr>
        <w:t>CapEx</w:t>
      </w:r>
      <w:proofErr w:type="spellEnd"/>
      <w:r w:rsidRPr="00956486">
        <w:rPr>
          <w:sz w:val="22"/>
          <w:szCs w:val="22"/>
        </w:rPr>
        <w:t>.</w:t>
      </w:r>
    </w:p>
    <w:p w14:paraId="7110D5A8" w14:textId="77777777" w:rsidR="00A64E71" w:rsidRPr="00956486" w:rsidRDefault="00A64E71" w:rsidP="00127934">
      <w:pPr>
        <w:pStyle w:val="NormalWeb"/>
        <w:numPr>
          <w:ilvl w:val="0"/>
          <w:numId w:val="63"/>
        </w:numPr>
        <w:rPr>
          <w:sz w:val="22"/>
          <w:szCs w:val="22"/>
        </w:rPr>
      </w:pPr>
      <w:r w:rsidRPr="00956486">
        <w:rPr>
          <w:sz w:val="22"/>
          <w:szCs w:val="22"/>
        </w:rPr>
        <w:t>Cash balance: $555 million; net debt: $2.8 billion (net leverage ratio: 2.0x).</w:t>
      </w:r>
    </w:p>
    <w:p w14:paraId="2DE18F95" w14:textId="77777777" w:rsidR="00A64E71" w:rsidRPr="00956486" w:rsidRDefault="00A64E71" w:rsidP="00127934">
      <w:pPr>
        <w:pStyle w:val="NormalWeb"/>
        <w:numPr>
          <w:ilvl w:val="0"/>
          <w:numId w:val="63"/>
        </w:numPr>
        <w:rPr>
          <w:sz w:val="22"/>
          <w:szCs w:val="22"/>
        </w:rPr>
      </w:pPr>
      <w:r w:rsidRPr="00956486">
        <w:rPr>
          <w:sz w:val="22"/>
          <w:szCs w:val="22"/>
        </w:rPr>
        <w:t>Full-year 2025 guidance reaffirmed:</w:t>
      </w:r>
    </w:p>
    <w:p w14:paraId="414E2337" w14:textId="77777777" w:rsidR="00A64E71" w:rsidRPr="00956486" w:rsidRDefault="00A64E71" w:rsidP="00127934">
      <w:pPr>
        <w:pStyle w:val="NormalWeb"/>
        <w:numPr>
          <w:ilvl w:val="1"/>
          <w:numId w:val="63"/>
        </w:numPr>
        <w:rPr>
          <w:sz w:val="22"/>
          <w:szCs w:val="22"/>
        </w:rPr>
      </w:pPr>
      <w:r w:rsidRPr="00956486">
        <w:rPr>
          <w:sz w:val="22"/>
          <w:szCs w:val="22"/>
        </w:rPr>
        <w:t xml:space="preserve">Adjusted EBITDA: </w:t>
      </w:r>
      <w:r w:rsidRPr="00956486">
        <w:rPr>
          <w:rStyle w:val="Strong"/>
          <w:rFonts w:eastAsiaTheme="majorEastAsia"/>
          <w:sz w:val="22"/>
          <w:szCs w:val="22"/>
        </w:rPr>
        <w:t>$1.6–1.7 billion</w:t>
      </w:r>
    </w:p>
    <w:p w14:paraId="6DA9D7E2" w14:textId="77777777" w:rsidR="00A64E71" w:rsidRPr="00956486" w:rsidRDefault="00A64E71" w:rsidP="00127934">
      <w:pPr>
        <w:pStyle w:val="NormalWeb"/>
        <w:numPr>
          <w:ilvl w:val="1"/>
          <w:numId w:val="63"/>
        </w:numPr>
        <w:rPr>
          <w:sz w:val="22"/>
          <w:szCs w:val="22"/>
        </w:rPr>
      </w:pPr>
      <w:r w:rsidRPr="00956486">
        <w:rPr>
          <w:sz w:val="22"/>
          <w:szCs w:val="22"/>
        </w:rPr>
        <w:t xml:space="preserve">Free cash flow: </w:t>
      </w:r>
      <w:r w:rsidRPr="00956486">
        <w:rPr>
          <w:rStyle w:val="Strong"/>
          <w:rFonts w:eastAsiaTheme="majorEastAsia"/>
          <w:sz w:val="22"/>
          <w:szCs w:val="22"/>
        </w:rPr>
        <w:t>$800–900 million</w:t>
      </w:r>
    </w:p>
    <w:p w14:paraId="27CBF050" w14:textId="77777777" w:rsidR="00A64E71" w:rsidRPr="00956486" w:rsidRDefault="00A64E71" w:rsidP="00A64E71">
      <w:pPr>
        <w:pStyle w:val="NormalWeb"/>
        <w:rPr>
          <w:sz w:val="22"/>
          <w:szCs w:val="22"/>
        </w:rPr>
      </w:pPr>
      <w:r w:rsidRPr="00956486">
        <w:rPr>
          <w:rStyle w:val="Strong"/>
          <w:rFonts w:eastAsiaTheme="majorEastAsia"/>
          <w:sz w:val="22"/>
          <w:szCs w:val="22"/>
        </w:rPr>
        <w:t>Operational Highlights</w:t>
      </w:r>
    </w:p>
    <w:p w14:paraId="55CF069A" w14:textId="77777777" w:rsidR="00A64E71" w:rsidRPr="00956486" w:rsidRDefault="00A64E71" w:rsidP="00127934">
      <w:pPr>
        <w:pStyle w:val="NormalWeb"/>
        <w:numPr>
          <w:ilvl w:val="0"/>
          <w:numId w:val="64"/>
        </w:numPr>
        <w:rPr>
          <w:sz w:val="22"/>
          <w:szCs w:val="22"/>
        </w:rPr>
      </w:pPr>
      <w:proofErr w:type="spellStart"/>
      <w:r w:rsidRPr="00956486">
        <w:rPr>
          <w:rStyle w:val="Strong"/>
          <w:rFonts w:eastAsiaTheme="majorEastAsia"/>
          <w:sz w:val="22"/>
          <w:szCs w:val="22"/>
        </w:rPr>
        <w:t>Chlor</w:t>
      </w:r>
      <w:proofErr w:type="spellEnd"/>
      <w:r w:rsidRPr="00956486">
        <w:rPr>
          <w:rStyle w:val="Strong"/>
          <w:rFonts w:eastAsiaTheme="majorEastAsia"/>
          <w:sz w:val="22"/>
          <w:szCs w:val="22"/>
        </w:rPr>
        <w:t xml:space="preserve"> Alkali Products &amp; </w:t>
      </w:r>
      <w:proofErr w:type="spellStart"/>
      <w:r w:rsidRPr="00956486">
        <w:rPr>
          <w:rStyle w:val="Strong"/>
          <w:rFonts w:eastAsiaTheme="majorEastAsia"/>
          <w:sz w:val="22"/>
          <w:szCs w:val="22"/>
        </w:rPr>
        <w:t>Vinyls</w:t>
      </w:r>
      <w:proofErr w:type="spellEnd"/>
      <w:r w:rsidRPr="00956486">
        <w:rPr>
          <w:rStyle w:val="Strong"/>
          <w:rFonts w:eastAsiaTheme="majorEastAsia"/>
          <w:sz w:val="22"/>
          <w:szCs w:val="22"/>
        </w:rPr>
        <w:t xml:space="preserve"> (CAPV)</w:t>
      </w:r>
      <w:r w:rsidRPr="00956486">
        <w:rPr>
          <w:sz w:val="22"/>
          <w:szCs w:val="22"/>
        </w:rPr>
        <w:t>:</w:t>
      </w:r>
    </w:p>
    <w:p w14:paraId="023D1E1C" w14:textId="77777777" w:rsidR="00A64E71" w:rsidRPr="00956486" w:rsidRDefault="00A64E71" w:rsidP="00127934">
      <w:pPr>
        <w:pStyle w:val="NormalWeb"/>
        <w:numPr>
          <w:ilvl w:val="1"/>
          <w:numId w:val="64"/>
        </w:numPr>
        <w:rPr>
          <w:sz w:val="22"/>
          <w:szCs w:val="22"/>
        </w:rPr>
      </w:pPr>
      <w:r w:rsidRPr="00956486">
        <w:rPr>
          <w:sz w:val="22"/>
          <w:szCs w:val="22"/>
        </w:rPr>
        <w:t>Stronger caustic soda pricing and recovery in industrial demand supported segment margin expansion.</w:t>
      </w:r>
    </w:p>
    <w:p w14:paraId="7DB8DBAE" w14:textId="77777777" w:rsidR="00A64E71" w:rsidRPr="00956486" w:rsidRDefault="00A64E71" w:rsidP="00127934">
      <w:pPr>
        <w:pStyle w:val="NormalWeb"/>
        <w:numPr>
          <w:ilvl w:val="1"/>
          <w:numId w:val="64"/>
        </w:numPr>
        <w:rPr>
          <w:sz w:val="22"/>
          <w:szCs w:val="22"/>
        </w:rPr>
      </w:pPr>
      <w:r w:rsidRPr="00956486">
        <w:rPr>
          <w:sz w:val="22"/>
          <w:szCs w:val="22"/>
        </w:rPr>
        <w:t xml:space="preserve">Operating rate: </w:t>
      </w:r>
      <w:r w:rsidRPr="00956486">
        <w:rPr>
          <w:rStyle w:val="Strong"/>
          <w:rFonts w:eastAsiaTheme="majorEastAsia"/>
          <w:sz w:val="22"/>
          <w:szCs w:val="22"/>
        </w:rPr>
        <w:t>84%</w:t>
      </w:r>
      <w:r w:rsidRPr="00956486">
        <w:rPr>
          <w:sz w:val="22"/>
          <w:szCs w:val="22"/>
        </w:rPr>
        <w:t xml:space="preserve">, up from 79% in Q1; Gulf Coast assets (including </w:t>
      </w:r>
      <w:r w:rsidRPr="00956486">
        <w:rPr>
          <w:rStyle w:val="Strong"/>
          <w:rFonts w:eastAsiaTheme="majorEastAsia"/>
          <w:sz w:val="22"/>
          <w:szCs w:val="22"/>
        </w:rPr>
        <w:t>Mobile and McIntosh, AL</w:t>
      </w:r>
      <w:r w:rsidRPr="00956486">
        <w:rPr>
          <w:sz w:val="22"/>
          <w:szCs w:val="22"/>
        </w:rPr>
        <w:t>) ran at high utilization.</w:t>
      </w:r>
    </w:p>
    <w:p w14:paraId="37D0954E" w14:textId="77777777" w:rsidR="00A64E71" w:rsidRPr="00956486" w:rsidRDefault="00A64E71" w:rsidP="00127934">
      <w:pPr>
        <w:pStyle w:val="NormalWeb"/>
        <w:numPr>
          <w:ilvl w:val="1"/>
          <w:numId w:val="64"/>
        </w:numPr>
        <w:rPr>
          <w:sz w:val="22"/>
          <w:szCs w:val="22"/>
        </w:rPr>
      </w:pPr>
      <w:r w:rsidRPr="00956486">
        <w:rPr>
          <w:sz w:val="22"/>
          <w:szCs w:val="22"/>
        </w:rPr>
        <w:t>Contract discipline and value-focused sales reduced price volatility and maximized margin per ton.</w:t>
      </w:r>
    </w:p>
    <w:p w14:paraId="57FC9BE3" w14:textId="77777777" w:rsidR="00A64E71" w:rsidRPr="00956486" w:rsidRDefault="00A64E71" w:rsidP="00127934">
      <w:pPr>
        <w:pStyle w:val="NormalWeb"/>
        <w:numPr>
          <w:ilvl w:val="1"/>
          <w:numId w:val="64"/>
        </w:numPr>
        <w:rPr>
          <w:sz w:val="22"/>
          <w:szCs w:val="22"/>
        </w:rPr>
      </w:pPr>
      <w:proofErr w:type="spellStart"/>
      <w:r w:rsidRPr="00956486">
        <w:rPr>
          <w:sz w:val="22"/>
          <w:szCs w:val="22"/>
        </w:rPr>
        <w:t>Vinyls</w:t>
      </w:r>
      <w:proofErr w:type="spellEnd"/>
      <w:r w:rsidRPr="00956486">
        <w:rPr>
          <w:sz w:val="22"/>
          <w:szCs w:val="22"/>
        </w:rPr>
        <w:t xml:space="preserve"> business continues to face headwinds, but margins held due to favorable energy and chlorine co-product economics.</w:t>
      </w:r>
    </w:p>
    <w:p w14:paraId="10F54968" w14:textId="77777777" w:rsidR="00A64E71" w:rsidRPr="00956486" w:rsidRDefault="00A64E71" w:rsidP="00127934">
      <w:pPr>
        <w:pStyle w:val="NormalWeb"/>
        <w:numPr>
          <w:ilvl w:val="0"/>
          <w:numId w:val="64"/>
        </w:numPr>
        <w:rPr>
          <w:sz w:val="22"/>
          <w:szCs w:val="22"/>
        </w:rPr>
      </w:pPr>
      <w:r w:rsidRPr="00956486">
        <w:rPr>
          <w:rStyle w:val="Strong"/>
          <w:rFonts w:eastAsiaTheme="majorEastAsia"/>
          <w:sz w:val="22"/>
          <w:szCs w:val="22"/>
        </w:rPr>
        <w:t>Epoxy business</w:t>
      </w:r>
      <w:r w:rsidRPr="00956486">
        <w:rPr>
          <w:sz w:val="22"/>
          <w:szCs w:val="22"/>
        </w:rPr>
        <w:t xml:space="preserve"> improved, supported by growth in wind energy, automotive composites, and Asia Pacific industrial coatings.</w:t>
      </w:r>
    </w:p>
    <w:p w14:paraId="2D0DCA83" w14:textId="77777777" w:rsidR="00A64E71" w:rsidRPr="00956486" w:rsidRDefault="00A64E71" w:rsidP="00127934">
      <w:pPr>
        <w:pStyle w:val="NormalWeb"/>
        <w:numPr>
          <w:ilvl w:val="0"/>
          <w:numId w:val="64"/>
        </w:numPr>
        <w:rPr>
          <w:sz w:val="22"/>
          <w:szCs w:val="22"/>
        </w:rPr>
      </w:pPr>
      <w:r w:rsidRPr="00956486">
        <w:rPr>
          <w:sz w:val="22"/>
          <w:szCs w:val="22"/>
        </w:rPr>
        <w:t xml:space="preserve">Strategic decisions to </w:t>
      </w:r>
      <w:r w:rsidRPr="00956486">
        <w:rPr>
          <w:rStyle w:val="Strong"/>
          <w:rFonts w:eastAsiaTheme="majorEastAsia"/>
          <w:sz w:val="22"/>
          <w:szCs w:val="22"/>
        </w:rPr>
        <w:t>limit low-return exports and spot volumes</w:t>
      </w:r>
      <w:r w:rsidRPr="00956486">
        <w:rPr>
          <w:sz w:val="22"/>
          <w:szCs w:val="22"/>
        </w:rPr>
        <w:t xml:space="preserve"> supported margin resilience in both CAPV and epoxy.</w:t>
      </w:r>
    </w:p>
    <w:p w14:paraId="051ED21E" w14:textId="77777777" w:rsidR="00A64E71" w:rsidRPr="00956486" w:rsidRDefault="00A64E71" w:rsidP="00127934">
      <w:pPr>
        <w:pStyle w:val="NormalWeb"/>
        <w:numPr>
          <w:ilvl w:val="0"/>
          <w:numId w:val="64"/>
        </w:numPr>
        <w:rPr>
          <w:sz w:val="22"/>
          <w:szCs w:val="22"/>
        </w:rPr>
      </w:pPr>
      <w:r w:rsidRPr="00956486">
        <w:rPr>
          <w:sz w:val="22"/>
          <w:szCs w:val="22"/>
        </w:rPr>
        <w:t xml:space="preserve">Productivity initiatives reduced fixed costs by $25 million in Q2, with full-year savings on track </w:t>
      </w:r>
      <w:proofErr w:type="gramStart"/>
      <w:r w:rsidRPr="00956486">
        <w:rPr>
          <w:sz w:val="22"/>
          <w:szCs w:val="22"/>
        </w:rPr>
        <w:t>to exceed</w:t>
      </w:r>
      <w:proofErr w:type="gramEnd"/>
      <w:r w:rsidRPr="00956486">
        <w:rPr>
          <w:sz w:val="22"/>
          <w:szCs w:val="22"/>
        </w:rPr>
        <w:t xml:space="preserve"> $100 million.</w:t>
      </w:r>
    </w:p>
    <w:p w14:paraId="0A6F8A2A" w14:textId="77777777" w:rsidR="00A64E71" w:rsidRPr="00956486" w:rsidRDefault="00A64E71" w:rsidP="00A64E71">
      <w:pPr>
        <w:pStyle w:val="NormalWeb"/>
        <w:rPr>
          <w:sz w:val="22"/>
          <w:szCs w:val="22"/>
        </w:rPr>
      </w:pPr>
      <w:r w:rsidRPr="00956486">
        <w:rPr>
          <w:rStyle w:val="Strong"/>
          <w:rFonts w:eastAsiaTheme="majorEastAsia"/>
          <w:sz w:val="22"/>
          <w:szCs w:val="22"/>
        </w:rPr>
        <w:t>Business Expansions &amp; Capital Expenditure Plans</w:t>
      </w:r>
    </w:p>
    <w:p w14:paraId="741428BF" w14:textId="77777777" w:rsidR="00A64E71" w:rsidRPr="00956486" w:rsidRDefault="00A64E71" w:rsidP="00127934">
      <w:pPr>
        <w:pStyle w:val="NormalWeb"/>
        <w:numPr>
          <w:ilvl w:val="0"/>
          <w:numId w:val="65"/>
        </w:numPr>
        <w:rPr>
          <w:sz w:val="22"/>
          <w:szCs w:val="22"/>
        </w:rPr>
      </w:pPr>
      <w:r w:rsidRPr="00956486">
        <w:rPr>
          <w:sz w:val="22"/>
          <w:szCs w:val="22"/>
        </w:rPr>
        <w:t xml:space="preserve">Q2 </w:t>
      </w:r>
      <w:proofErr w:type="spellStart"/>
      <w:r w:rsidRPr="00956486">
        <w:rPr>
          <w:sz w:val="22"/>
          <w:szCs w:val="22"/>
        </w:rPr>
        <w:t>CapEx</w:t>
      </w:r>
      <w:proofErr w:type="spellEnd"/>
      <w:r w:rsidRPr="00956486">
        <w:rPr>
          <w:sz w:val="22"/>
          <w:szCs w:val="22"/>
        </w:rPr>
        <w:t xml:space="preserve">: </w:t>
      </w:r>
      <w:r w:rsidRPr="00956486">
        <w:rPr>
          <w:rStyle w:val="Strong"/>
          <w:rFonts w:eastAsiaTheme="majorEastAsia"/>
          <w:sz w:val="22"/>
          <w:szCs w:val="22"/>
        </w:rPr>
        <w:t>$96 million</w:t>
      </w:r>
      <w:r w:rsidRPr="00956486">
        <w:rPr>
          <w:sz w:val="22"/>
          <w:szCs w:val="22"/>
        </w:rPr>
        <w:t xml:space="preserve">; full-year 2025 guidance: </w:t>
      </w:r>
      <w:r w:rsidRPr="00956486">
        <w:rPr>
          <w:rStyle w:val="Strong"/>
          <w:rFonts w:eastAsiaTheme="majorEastAsia"/>
          <w:sz w:val="22"/>
          <w:szCs w:val="22"/>
        </w:rPr>
        <w:t>$375–400 million</w:t>
      </w:r>
      <w:r w:rsidRPr="00956486">
        <w:rPr>
          <w:sz w:val="22"/>
          <w:szCs w:val="22"/>
        </w:rPr>
        <w:t>.</w:t>
      </w:r>
    </w:p>
    <w:p w14:paraId="446C3022" w14:textId="77777777" w:rsidR="00A64E71" w:rsidRPr="00956486" w:rsidRDefault="00A64E71" w:rsidP="00127934">
      <w:pPr>
        <w:pStyle w:val="NormalWeb"/>
        <w:numPr>
          <w:ilvl w:val="0"/>
          <w:numId w:val="65"/>
        </w:numPr>
        <w:rPr>
          <w:sz w:val="22"/>
          <w:szCs w:val="22"/>
        </w:rPr>
      </w:pPr>
      <w:proofErr w:type="spellStart"/>
      <w:r w:rsidRPr="00956486">
        <w:rPr>
          <w:sz w:val="22"/>
          <w:szCs w:val="22"/>
        </w:rPr>
        <w:t>CapEx</w:t>
      </w:r>
      <w:proofErr w:type="spellEnd"/>
      <w:r w:rsidRPr="00956486">
        <w:rPr>
          <w:sz w:val="22"/>
          <w:szCs w:val="22"/>
        </w:rPr>
        <w:t xml:space="preserve"> focused on:</w:t>
      </w:r>
    </w:p>
    <w:p w14:paraId="057F4EDD" w14:textId="77777777" w:rsidR="00A64E71" w:rsidRPr="00956486" w:rsidRDefault="00A64E71" w:rsidP="00127934">
      <w:pPr>
        <w:pStyle w:val="NormalWeb"/>
        <w:numPr>
          <w:ilvl w:val="1"/>
          <w:numId w:val="65"/>
        </w:numPr>
        <w:rPr>
          <w:sz w:val="22"/>
          <w:szCs w:val="22"/>
        </w:rPr>
      </w:pPr>
      <w:r w:rsidRPr="00956486">
        <w:rPr>
          <w:rStyle w:val="Strong"/>
          <w:rFonts w:eastAsiaTheme="majorEastAsia"/>
          <w:sz w:val="22"/>
          <w:szCs w:val="22"/>
        </w:rPr>
        <w:t>Sustaining capital</w:t>
      </w:r>
      <w:r w:rsidRPr="00956486">
        <w:rPr>
          <w:sz w:val="22"/>
          <w:szCs w:val="22"/>
        </w:rPr>
        <w:t>: safety, maintenance, reliability at major chlor-alkali plants</w:t>
      </w:r>
    </w:p>
    <w:p w14:paraId="000124D8" w14:textId="77777777" w:rsidR="00A64E71" w:rsidRPr="00956486" w:rsidRDefault="00A64E71" w:rsidP="00127934">
      <w:pPr>
        <w:pStyle w:val="NormalWeb"/>
        <w:numPr>
          <w:ilvl w:val="1"/>
          <w:numId w:val="65"/>
        </w:numPr>
        <w:rPr>
          <w:sz w:val="22"/>
          <w:szCs w:val="22"/>
        </w:rPr>
      </w:pPr>
      <w:r w:rsidRPr="00956486">
        <w:rPr>
          <w:rStyle w:val="Strong"/>
          <w:rFonts w:eastAsiaTheme="majorEastAsia"/>
          <w:sz w:val="22"/>
          <w:szCs w:val="22"/>
        </w:rPr>
        <w:t>Selective growth investments</w:t>
      </w:r>
      <w:r w:rsidRPr="00956486">
        <w:rPr>
          <w:sz w:val="22"/>
          <w:szCs w:val="22"/>
        </w:rPr>
        <w:t>: high-return capacity expansions for caustic soda and HCl handling</w:t>
      </w:r>
    </w:p>
    <w:p w14:paraId="46EF1A8E" w14:textId="77777777" w:rsidR="00A64E71" w:rsidRPr="00956486" w:rsidRDefault="00A64E71" w:rsidP="00127934">
      <w:pPr>
        <w:pStyle w:val="NormalWeb"/>
        <w:numPr>
          <w:ilvl w:val="1"/>
          <w:numId w:val="65"/>
        </w:numPr>
        <w:rPr>
          <w:sz w:val="22"/>
          <w:szCs w:val="22"/>
        </w:rPr>
      </w:pPr>
      <w:r w:rsidRPr="00956486">
        <w:rPr>
          <w:rStyle w:val="Strong"/>
          <w:rFonts w:eastAsiaTheme="majorEastAsia"/>
          <w:sz w:val="22"/>
          <w:szCs w:val="22"/>
        </w:rPr>
        <w:t>Digitization and automation</w:t>
      </w:r>
      <w:r w:rsidRPr="00956486">
        <w:rPr>
          <w:sz w:val="22"/>
          <w:szCs w:val="22"/>
        </w:rPr>
        <w:t xml:space="preserve"> across large-scale assets to improve OEE and reduce operator variability</w:t>
      </w:r>
    </w:p>
    <w:p w14:paraId="5DDA9A3E" w14:textId="77777777" w:rsidR="00A64E71" w:rsidRPr="00956486" w:rsidRDefault="00A64E71" w:rsidP="00127934">
      <w:pPr>
        <w:pStyle w:val="NormalWeb"/>
        <w:numPr>
          <w:ilvl w:val="0"/>
          <w:numId w:val="65"/>
        </w:numPr>
        <w:rPr>
          <w:sz w:val="22"/>
          <w:szCs w:val="22"/>
        </w:rPr>
      </w:pPr>
      <w:r w:rsidRPr="00956486">
        <w:rPr>
          <w:rStyle w:val="Strong"/>
          <w:rFonts w:eastAsiaTheme="majorEastAsia"/>
          <w:sz w:val="22"/>
          <w:szCs w:val="22"/>
        </w:rPr>
        <w:t>Mobile and McIntosh, Alabama facilities</w:t>
      </w:r>
      <w:r w:rsidRPr="00956486">
        <w:rPr>
          <w:sz w:val="22"/>
          <w:szCs w:val="22"/>
        </w:rPr>
        <w:t xml:space="preserve"> received reliability upgrades and process control enhancements as part of company-wide Gulf Coast optimization plan.</w:t>
      </w:r>
    </w:p>
    <w:p w14:paraId="265C305D" w14:textId="77777777" w:rsidR="00A64E71" w:rsidRPr="00956486" w:rsidRDefault="00A64E71" w:rsidP="00127934">
      <w:pPr>
        <w:pStyle w:val="NormalWeb"/>
        <w:numPr>
          <w:ilvl w:val="0"/>
          <w:numId w:val="65"/>
        </w:numPr>
        <w:rPr>
          <w:sz w:val="22"/>
          <w:szCs w:val="22"/>
        </w:rPr>
      </w:pPr>
      <w:r w:rsidRPr="00956486">
        <w:rPr>
          <w:sz w:val="22"/>
          <w:szCs w:val="22"/>
        </w:rPr>
        <w:lastRenderedPageBreak/>
        <w:t>McIntosh site involved in integration testing for newly automated brine treatment and chlorine liquefaction systems.</w:t>
      </w:r>
    </w:p>
    <w:p w14:paraId="39B83295" w14:textId="77777777" w:rsidR="00A64E71" w:rsidRPr="00956486" w:rsidRDefault="00A64E71" w:rsidP="00127934">
      <w:pPr>
        <w:pStyle w:val="NormalWeb"/>
        <w:numPr>
          <w:ilvl w:val="0"/>
          <w:numId w:val="65"/>
        </w:numPr>
        <w:rPr>
          <w:sz w:val="22"/>
          <w:szCs w:val="22"/>
        </w:rPr>
      </w:pPr>
      <w:r w:rsidRPr="00956486">
        <w:rPr>
          <w:sz w:val="22"/>
          <w:szCs w:val="22"/>
        </w:rPr>
        <w:t>Evaluating additional HCl infrastructure improvements to better serve Southeastern industrial and agricultural markets.</w:t>
      </w:r>
    </w:p>
    <w:p w14:paraId="6A794CF4" w14:textId="77777777" w:rsidR="00A64E71" w:rsidRPr="00956486" w:rsidRDefault="00A64E71" w:rsidP="00A64E71">
      <w:pPr>
        <w:pStyle w:val="NormalWeb"/>
        <w:rPr>
          <w:sz w:val="22"/>
          <w:szCs w:val="22"/>
        </w:rPr>
      </w:pPr>
      <w:r w:rsidRPr="00956486">
        <w:rPr>
          <w:rStyle w:val="Strong"/>
          <w:rFonts w:eastAsiaTheme="majorEastAsia"/>
          <w:sz w:val="22"/>
          <w:szCs w:val="22"/>
        </w:rPr>
        <w:t>Segment Performance &amp; Outlook</w:t>
      </w:r>
    </w:p>
    <w:p w14:paraId="4A8A09C7" w14:textId="77777777" w:rsidR="00A64E71" w:rsidRPr="00956486" w:rsidRDefault="00A64E71" w:rsidP="00127934">
      <w:pPr>
        <w:pStyle w:val="NormalWeb"/>
        <w:numPr>
          <w:ilvl w:val="0"/>
          <w:numId w:val="66"/>
        </w:numPr>
        <w:rPr>
          <w:sz w:val="22"/>
          <w:szCs w:val="22"/>
        </w:rPr>
      </w:pPr>
      <w:proofErr w:type="spellStart"/>
      <w:r w:rsidRPr="00956486">
        <w:rPr>
          <w:rStyle w:val="Strong"/>
          <w:rFonts w:eastAsiaTheme="majorEastAsia"/>
          <w:sz w:val="22"/>
          <w:szCs w:val="22"/>
        </w:rPr>
        <w:t>Chlor</w:t>
      </w:r>
      <w:proofErr w:type="spellEnd"/>
      <w:r w:rsidRPr="00956486">
        <w:rPr>
          <w:rStyle w:val="Strong"/>
          <w:rFonts w:eastAsiaTheme="majorEastAsia"/>
          <w:sz w:val="22"/>
          <w:szCs w:val="22"/>
        </w:rPr>
        <w:t xml:space="preserve"> Alkali Products &amp; </w:t>
      </w:r>
      <w:proofErr w:type="spellStart"/>
      <w:r w:rsidRPr="00956486">
        <w:rPr>
          <w:rStyle w:val="Strong"/>
          <w:rFonts w:eastAsiaTheme="majorEastAsia"/>
          <w:sz w:val="22"/>
          <w:szCs w:val="22"/>
        </w:rPr>
        <w:t>Vinyls</w:t>
      </w:r>
      <w:proofErr w:type="spellEnd"/>
      <w:r w:rsidRPr="00956486">
        <w:rPr>
          <w:rStyle w:val="Strong"/>
          <w:rFonts w:eastAsiaTheme="majorEastAsia"/>
          <w:sz w:val="22"/>
          <w:szCs w:val="22"/>
        </w:rPr>
        <w:t xml:space="preserve"> (CAPV)</w:t>
      </w:r>
      <w:r w:rsidRPr="00956486">
        <w:rPr>
          <w:sz w:val="22"/>
          <w:szCs w:val="22"/>
        </w:rPr>
        <w:t>:</w:t>
      </w:r>
    </w:p>
    <w:p w14:paraId="2CA5E8AB" w14:textId="77777777" w:rsidR="00A64E71" w:rsidRPr="00956486" w:rsidRDefault="00A64E71" w:rsidP="00127934">
      <w:pPr>
        <w:pStyle w:val="NormalWeb"/>
        <w:numPr>
          <w:ilvl w:val="1"/>
          <w:numId w:val="66"/>
        </w:numPr>
        <w:rPr>
          <w:sz w:val="22"/>
          <w:szCs w:val="22"/>
        </w:rPr>
      </w:pPr>
      <w:r w:rsidRPr="00956486">
        <w:rPr>
          <w:sz w:val="22"/>
          <w:szCs w:val="22"/>
        </w:rPr>
        <w:t xml:space="preserve">EBITDA: </w:t>
      </w:r>
      <w:r w:rsidRPr="00956486">
        <w:rPr>
          <w:rStyle w:val="Strong"/>
          <w:rFonts w:eastAsiaTheme="majorEastAsia"/>
          <w:sz w:val="22"/>
          <w:szCs w:val="22"/>
        </w:rPr>
        <w:t>$304 million</w:t>
      </w:r>
      <w:r w:rsidRPr="00956486">
        <w:rPr>
          <w:sz w:val="22"/>
          <w:szCs w:val="22"/>
        </w:rPr>
        <w:t>, up from $276 million in Q1</w:t>
      </w:r>
    </w:p>
    <w:p w14:paraId="73DBA5A2" w14:textId="77777777" w:rsidR="00A64E71" w:rsidRPr="00956486" w:rsidRDefault="00A64E71" w:rsidP="00127934">
      <w:pPr>
        <w:pStyle w:val="NormalWeb"/>
        <w:numPr>
          <w:ilvl w:val="1"/>
          <w:numId w:val="66"/>
        </w:numPr>
        <w:rPr>
          <w:sz w:val="22"/>
          <w:szCs w:val="22"/>
        </w:rPr>
      </w:pPr>
      <w:r w:rsidRPr="00956486">
        <w:rPr>
          <w:sz w:val="22"/>
          <w:szCs w:val="22"/>
        </w:rPr>
        <w:t xml:space="preserve">Caustic soda pricing improved sequentially and expected to remain strong </w:t>
      </w:r>
      <w:proofErr w:type="gramStart"/>
      <w:r w:rsidRPr="00956486">
        <w:rPr>
          <w:sz w:val="22"/>
          <w:szCs w:val="22"/>
        </w:rPr>
        <w:t>through</w:t>
      </w:r>
      <w:proofErr w:type="gramEnd"/>
      <w:r w:rsidRPr="00956486">
        <w:rPr>
          <w:sz w:val="22"/>
          <w:szCs w:val="22"/>
        </w:rPr>
        <w:t xml:space="preserve"> Q3</w:t>
      </w:r>
    </w:p>
    <w:p w14:paraId="4C6E3CEC" w14:textId="77777777" w:rsidR="00A64E71" w:rsidRPr="00956486" w:rsidRDefault="00A64E71" w:rsidP="00127934">
      <w:pPr>
        <w:pStyle w:val="NormalWeb"/>
        <w:numPr>
          <w:ilvl w:val="1"/>
          <w:numId w:val="66"/>
        </w:numPr>
        <w:rPr>
          <w:sz w:val="22"/>
          <w:szCs w:val="22"/>
        </w:rPr>
      </w:pPr>
      <w:r w:rsidRPr="00956486">
        <w:rPr>
          <w:sz w:val="22"/>
          <w:szCs w:val="22"/>
        </w:rPr>
        <w:t>Operating discipline (e.g., plant turnarounds, demand screening) optimized margin realization</w:t>
      </w:r>
    </w:p>
    <w:p w14:paraId="3C241A5A" w14:textId="77777777" w:rsidR="00A64E71" w:rsidRPr="00956486" w:rsidRDefault="00A64E71" w:rsidP="00127934">
      <w:pPr>
        <w:pStyle w:val="NormalWeb"/>
        <w:numPr>
          <w:ilvl w:val="1"/>
          <w:numId w:val="66"/>
        </w:numPr>
        <w:rPr>
          <w:sz w:val="22"/>
          <w:szCs w:val="22"/>
        </w:rPr>
      </w:pPr>
      <w:r w:rsidRPr="00956486">
        <w:rPr>
          <w:sz w:val="22"/>
          <w:szCs w:val="22"/>
        </w:rPr>
        <w:t>Alabama facilities supported stable supply for U.S. Southeast water treatment, pulp &amp; paper, and manufacturing end-users</w:t>
      </w:r>
    </w:p>
    <w:p w14:paraId="5013C8C2" w14:textId="77777777" w:rsidR="00A64E71" w:rsidRPr="00956486" w:rsidRDefault="00A64E71" w:rsidP="00127934">
      <w:pPr>
        <w:pStyle w:val="NormalWeb"/>
        <w:numPr>
          <w:ilvl w:val="0"/>
          <w:numId w:val="66"/>
        </w:numPr>
        <w:rPr>
          <w:sz w:val="22"/>
          <w:szCs w:val="22"/>
        </w:rPr>
      </w:pPr>
      <w:r w:rsidRPr="00956486">
        <w:rPr>
          <w:rStyle w:val="Strong"/>
          <w:rFonts w:eastAsiaTheme="majorEastAsia"/>
          <w:sz w:val="22"/>
          <w:szCs w:val="22"/>
        </w:rPr>
        <w:t>Epoxy</w:t>
      </w:r>
      <w:r w:rsidRPr="00956486">
        <w:rPr>
          <w:sz w:val="22"/>
          <w:szCs w:val="22"/>
        </w:rPr>
        <w:t>:</w:t>
      </w:r>
    </w:p>
    <w:p w14:paraId="2209A10E" w14:textId="77777777" w:rsidR="00A64E71" w:rsidRPr="00956486" w:rsidRDefault="00A64E71" w:rsidP="00127934">
      <w:pPr>
        <w:pStyle w:val="NormalWeb"/>
        <w:numPr>
          <w:ilvl w:val="1"/>
          <w:numId w:val="66"/>
        </w:numPr>
        <w:rPr>
          <w:sz w:val="22"/>
          <w:szCs w:val="22"/>
        </w:rPr>
      </w:pPr>
      <w:r w:rsidRPr="00956486">
        <w:rPr>
          <w:sz w:val="22"/>
          <w:szCs w:val="22"/>
        </w:rPr>
        <w:t>EBITDA: $89 million, up from $74 million in Q1</w:t>
      </w:r>
    </w:p>
    <w:p w14:paraId="6674631C" w14:textId="77777777" w:rsidR="00A64E71" w:rsidRPr="00956486" w:rsidRDefault="00A64E71" w:rsidP="00127934">
      <w:pPr>
        <w:pStyle w:val="NormalWeb"/>
        <w:numPr>
          <w:ilvl w:val="1"/>
          <w:numId w:val="66"/>
        </w:numPr>
        <w:rPr>
          <w:sz w:val="22"/>
          <w:szCs w:val="22"/>
        </w:rPr>
      </w:pPr>
      <w:r w:rsidRPr="00956486">
        <w:rPr>
          <w:sz w:val="22"/>
          <w:szCs w:val="22"/>
        </w:rPr>
        <w:t>Demand improving in aerospace, industrial coatings, wind blades</w:t>
      </w:r>
    </w:p>
    <w:p w14:paraId="1A0B1EE3" w14:textId="77777777" w:rsidR="00A64E71" w:rsidRPr="00956486" w:rsidRDefault="00A64E71" w:rsidP="00127934">
      <w:pPr>
        <w:pStyle w:val="NormalWeb"/>
        <w:numPr>
          <w:ilvl w:val="1"/>
          <w:numId w:val="66"/>
        </w:numPr>
        <w:rPr>
          <w:sz w:val="22"/>
          <w:szCs w:val="22"/>
        </w:rPr>
      </w:pPr>
      <w:r w:rsidRPr="00956486">
        <w:rPr>
          <w:sz w:val="22"/>
          <w:szCs w:val="22"/>
        </w:rPr>
        <w:t>Asia and Europe showed volume recovery, though pricing remains below historical norms</w:t>
      </w:r>
    </w:p>
    <w:p w14:paraId="37ACABA7" w14:textId="77777777" w:rsidR="00A64E71" w:rsidRPr="00956486" w:rsidRDefault="00A64E71" w:rsidP="00127934">
      <w:pPr>
        <w:pStyle w:val="NormalWeb"/>
        <w:numPr>
          <w:ilvl w:val="1"/>
          <w:numId w:val="66"/>
        </w:numPr>
        <w:rPr>
          <w:sz w:val="22"/>
          <w:szCs w:val="22"/>
        </w:rPr>
      </w:pPr>
      <w:r w:rsidRPr="00956486">
        <w:rPr>
          <w:sz w:val="22"/>
          <w:szCs w:val="22"/>
        </w:rPr>
        <w:t>U.S. Gulf Coast epoxy production assets ran near full capacity</w:t>
      </w:r>
    </w:p>
    <w:p w14:paraId="7642008E" w14:textId="77777777" w:rsidR="00A64E71" w:rsidRPr="00956486" w:rsidRDefault="00A64E71" w:rsidP="00127934">
      <w:pPr>
        <w:pStyle w:val="NormalWeb"/>
        <w:numPr>
          <w:ilvl w:val="0"/>
          <w:numId w:val="66"/>
        </w:numPr>
        <w:rPr>
          <w:sz w:val="22"/>
          <w:szCs w:val="22"/>
        </w:rPr>
      </w:pPr>
      <w:r w:rsidRPr="00956486">
        <w:rPr>
          <w:rStyle w:val="Strong"/>
          <w:rFonts w:eastAsiaTheme="majorEastAsia"/>
          <w:sz w:val="22"/>
          <w:szCs w:val="22"/>
        </w:rPr>
        <w:t>Winchester (Ammunition)</w:t>
      </w:r>
      <w:r w:rsidRPr="00956486">
        <w:rPr>
          <w:sz w:val="22"/>
          <w:szCs w:val="22"/>
        </w:rPr>
        <w:t>:</w:t>
      </w:r>
    </w:p>
    <w:p w14:paraId="5D1C2E16" w14:textId="77777777" w:rsidR="00A64E71" w:rsidRPr="00956486" w:rsidRDefault="00A64E71" w:rsidP="00127934">
      <w:pPr>
        <w:pStyle w:val="NormalWeb"/>
        <w:numPr>
          <w:ilvl w:val="1"/>
          <w:numId w:val="66"/>
        </w:numPr>
        <w:rPr>
          <w:sz w:val="22"/>
          <w:szCs w:val="22"/>
        </w:rPr>
      </w:pPr>
      <w:r w:rsidRPr="00956486">
        <w:rPr>
          <w:sz w:val="22"/>
          <w:szCs w:val="22"/>
        </w:rPr>
        <w:t>EBITDA: $54 million, flat QoQ</w:t>
      </w:r>
    </w:p>
    <w:p w14:paraId="1D20EE6A" w14:textId="77777777" w:rsidR="00A64E71" w:rsidRPr="00956486" w:rsidRDefault="00A64E71" w:rsidP="00127934">
      <w:pPr>
        <w:pStyle w:val="NormalWeb"/>
        <w:numPr>
          <w:ilvl w:val="1"/>
          <w:numId w:val="66"/>
        </w:numPr>
        <w:rPr>
          <w:sz w:val="22"/>
          <w:szCs w:val="22"/>
        </w:rPr>
      </w:pPr>
      <w:r w:rsidRPr="00956486">
        <w:rPr>
          <w:sz w:val="22"/>
          <w:szCs w:val="22"/>
        </w:rPr>
        <w:t xml:space="preserve">Commercial demand </w:t>
      </w:r>
      <w:proofErr w:type="gramStart"/>
      <w:r w:rsidRPr="00956486">
        <w:rPr>
          <w:sz w:val="22"/>
          <w:szCs w:val="22"/>
        </w:rPr>
        <w:t>stable;</w:t>
      </w:r>
      <w:proofErr w:type="gramEnd"/>
      <w:r w:rsidRPr="00956486">
        <w:rPr>
          <w:sz w:val="22"/>
          <w:szCs w:val="22"/>
        </w:rPr>
        <w:t xml:space="preserve"> military and government shipments continued </w:t>
      </w:r>
      <w:proofErr w:type="gramStart"/>
      <w:r w:rsidRPr="00956486">
        <w:rPr>
          <w:sz w:val="22"/>
          <w:szCs w:val="22"/>
        </w:rPr>
        <w:t>per</w:t>
      </w:r>
      <w:proofErr w:type="gramEnd"/>
      <w:r w:rsidRPr="00956486">
        <w:rPr>
          <w:sz w:val="22"/>
          <w:szCs w:val="22"/>
        </w:rPr>
        <w:t xml:space="preserve"> contract</w:t>
      </w:r>
    </w:p>
    <w:p w14:paraId="13672BFB" w14:textId="77777777" w:rsidR="00A64E71" w:rsidRPr="00956486" w:rsidRDefault="00A64E71" w:rsidP="00127934">
      <w:pPr>
        <w:pStyle w:val="NormalWeb"/>
        <w:numPr>
          <w:ilvl w:val="1"/>
          <w:numId w:val="66"/>
        </w:numPr>
        <w:rPr>
          <w:sz w:val="22"/>
          <w:szCs w:val="22"/>
        </w:rPr>
      </w:pPr>
      <w:r w:rsidRPr="00956486">
        <w:rPr>
          <w:sz w:val="22"/>
          <w:szCs w:val="22"/>
        </w:rPr>
        <w:t>No Alabama operations tied to this segment</w:t>
      </w:r>
    </w:p>
    <w:p w14:paraId="780EFCFE" w14:textId="77777777" w:rsidR="00A64E71" w:rsidRPr="00956486" w:rsidRDefault="00A64E71" w:rsidP="00127934">
      <w:pPr>
        <w:pStyle w:val="NormalWeb"/>
        <w:numPr>
          <w:ilvl w:val="0"/>
          <w:numId w:val="66"/>
        </w:numPr>
        <w:rPr>
          <w:sz w:val="22"/>
          <w:szCs w:val="22"/>
        </w:rPr>
      </w:pPr>
      <w:r w:rsidRPr="00956486">
        <w:rPr>
          <w:rStyle w:val="Strong"/>
          <w:rFonts w:eastAsiaTheme="majorEastAsia"/>
          <w:sz w:val="22"/>
          <w:szCs w:val="22"/>
        </w:rPr>
        <w:t>Outlook</w:t>
      </w:r>
      <w:r w:rsidRPr="00956486">
        <w:rPr>
          <w:sz w:val="22"/>
          <w:szCs w:val="22"/>
        </w:rPr>
        <w:t>:</w:t>
      </w:r>
    </w:p>
    <w:p w14:paraId="720CA10B" w14:textId="77777777" w:rsidR="00A64E71" w:rsidRPr="00956486" w:rsidRDefault="00A64E71" w:rsidP="00127934">
      <w:pPr>
        <w:pStyle w:val="NormalWeb"/>
        <w:numPr>
          <w:ilvl w:val="1"/>
          <w:numId w:val="66"/>
        </w:numPr>
        <w:rPr>
          <w:sz w:val="22"/>
          <w:szCs w:val="22"/>
        </w:rPr>
      </w:pPr>
      <w:r w:rsidRPr="00956486">
        <w:rPr>
          <w:sz w:val="22"/>
          <w:szCs w:val="22"/>
        </w:rPr>
        <w:t>Q3 expected to show further EBITDA growth, with margin tailwinds from caustic pricing and cost control</w:t>
      </w:r>
    </w:p>
    <w:p w14:paraId="698B1E1A" w14:textId="77777777" w:rsidR="00A64E71" w:rsidRPr="00956486" w:rsidRDefault="00A64E71" w:rsidP="00127934">
      <w:pPr>
        <w:pStyle w:val="NormalWeb"/>
        <w:numPr>
          <w:ilvl w:val="1"/>
          <w:numId w:val="66"/>
        </w:numPr>
        <w:rPr>
          <w:sz w:val="22"/>
          <w:szCs w:val="22"/>
        </w:rPr>
      </w:pPr>
      <w:r w:rsidRPr="00956486">
        <w:rPr>
          <w:sz w:val="22"/>
          <w:szCs w:val="22"/>
        </w:rPr>
        <w:t xml:space="preserve">Chlor-alkali </w:t>
      </w:r>
      <w:proofErr w:type="gramStart"/>
      <w:r w:rsidRPr="00956486">
        <w:rPr>
          <w:sz w:val="22"/>
          <w:szCs w:val="22"/>
        </w:rPr>
        <w:t>demand</w:t>
      </w:r>
      <w:proofErr w:type="gramEnd"/>
      <w:r w:rsidRPr="00956486">
        <w:rPr>
          <w:sz w:val="22"/>
          <w:szCs w:val="22"/>
        </w:rPr>
        <w:t xml:space="preserve"> to remain robust across water treatment, aluminum, and construction chemicals</w:t>
      </w:r>
    </w:p>
    <w:p w14:paraId="190EB612" w14:textId="77777777" w:rsidR="00A64E71" w:rsidRPr="00956486" w:rsidRDefault="00A64E71" w:rsidP="00127934">
      <w:pPr>
        <w:pStyle w:val="NormalWeb"/>
        <w:numPr>
          <w:ilvl w:val="1"/>
          <w:numId w:val="66"/>
        </w:numPr>
        <w:rPr>
          <w:sz w:val="22"/>
          <w:szCs w:val="22"/>
        </w:rPr>
      </w:pPr>
      <w:r w:rsidRPr="00956486">
        <w:rPr>
          <w:sz w:val="22"/>
          <w:szCs w:val="22"/>
        </w:rPr>
        <w:t xml:space="preserve">Company remains committed to </w:t>
      </w:r>
      <w:r w:rsidRPr="00956486">
        <w:rPr>
          <w:rStyle w:val="Strong"/>
          <w:rFonts w:eastAsiaTheme="majorEastAsia"/>
          <w:sz w:val="22"/>
          <w:szCs w:val="22"/>
        </w:rPr>
        <w:t xml:space="preserve">low </w:t>
      </w:r>
      <w:proofErr w:type="spellStart"/>
      <w:r w:rsidRPr="00956486">
        <w:rPr>
          <w:rStyle w:val="Strong"/>
          <w:rFonts w:eastAsiaTheme="majorEastAsia"/>
          <w:sz w:val="22"/>
          <w:szCs w:val="22"/>
        </w:rPr>
        <w:t>CapEx</w:t>
      </w:r>
      <w:proofErr w:type="spellEnd"/>
      <w:r w:rsidRPr="00956486">
        <w:rPr>
          <w:rStyle w:val="Strong"/>
          <w:rFonts w:eastAsiaTheme="majorEastAsia"/>
          <w:sz w:val="22"/>
          <w:szCs w:val="22"/>
        </w:rPr>
        <w:t xml:space="preserve"> intensity</w:t>
      </w:r>
      <w:r w:rsidRPr="00956486">
        <w:rPr>
          <w:sz w:val="22"/>
          <w:szCs w:val="22"/>
        </w:rPr>
        <w:t>, with emphasis on return-on-capital and footprint optimization</w:t>
      </w:r>
    </w:p>
    <w:p w14:paraId="646B9638" w14:textId="77777777" w:rsidR="00A64E71" w:rsidRPr="00956486" w:rsidRDefault="00A64E71" w:rsidP="00127934">
      <w:pPr>
        <w:pStyle w:val="NormalWeb"/>
        <w:numPr>
          <w:ilvl w:val="1"/>
          <w:numId w:val="66"/>
        </w:numPr>
        <w:rPr>
          <w:sz w:val="22"/>
          <w:szCs w:val="22"/>
        </w:rPr>
      </w:pPr>
      <w:r w:rsidRPr="00956486">
        <w:rPr>
          <w:rStyle w:val="Strong"/>
          <w:rFonts w:eastAsiaTheme="majorEastAsia"/>
          <w:sz w:val="22"/>
          <w:szCs w:val="22"/>
        </w:rPr>
        <w:t>Alabama operations</w:t>
      </w:r>
      <w:r w:rsidRPr="00956486">
        <w:rPr>
          <w:sz w:val="22"/>
          <w:szCs w:val="22"/>
        </w:rPr>
        <w:t>, particularly in McIntosh and Mobile, will continue to serve as high-availability supply nodes in Olin’s integrated Gulf Coast network</w:t>
      </w:r>
    </w:p>
    <w:p w14:paraId="3F98341C" w14:textId="69E325BC" w:rsidR="008B733A" w:rsidRPr="00E263BE" w:rsidRDefault="02D8AC93" w:rsidP="2535092B">
      <w:pPr>
        <w:rPr>
          <w:rFonts w:ascii="Times New Roman" w:hAnsi="Times New Roman" w:cs="Times New Roman"/>
          <w:b/>
          <w:bCs/>
        </w:rPr>
      </w:pPr>
      <w:r w:rsidRPr="00956486">
        <w:br/>
      </w:r>
    </w:p>
    <w:p w14:paraId="4D13E49F" w14:textId="77777777" w:rsidR="008B733A" w:rsidRPr="00BC0D8E" w:rsidRDefault="34354836" w:rsidP="005757E2">
      <w:pPr>
        <w:pStyle w:val="Heading2"/>
        <w:rPr>
          <w:rFonts w:cs="Times New Roman"/>
        </w:rPr>
      </w:pPr>
      <w:bookmarkStart w:id="87" w:name="_Toc147824685"/>
      <w:bookmarkStart w:id="88" w:name="_Toc212796770"/>
      <w:r w:rsidRPr="2535092B">
        <w:rPr>
          <w:rFonts w:cs="Times New Roman"/>
        </w:rPr>
        <w:t>Outokumpu Oyj (HLSE:OUT1V)</w:t>
      </w:r>
      <w:bookmarkEnd w:id="87"/>
      <w:bookmarkEnd w:id="88"/>
      <w:r w:rsidRPr="2535092B">
        <w:rPr>
          <w:rFonts w:cs="Times New Roman"/>
        </w:rPr>
        <w:t xml:space="preserve"> </w:t>
      </w:r>
    </w:p>
    <w:p w14:paraId="0F36886C" w14:textId="2C85CC12" w:rsidR="008B733A" w:rsidRPr="00BC0D8E" w:rsidRDefault="02FFA956" w:rsidP="005757E2">
      <w:pPr>
        <w:pStyle w:val="Heading3"/>
        <w:rPr>
          <w:rFonts w:cs="Times New Roman"/>
        </w:rPr>
      </w:pPr>
      <w:bookmarkStart w:id="89" w:name="_Toc147824686"/>
      <w:bookmarkStart w:id="90" w:name="_Toc212796771"/>
      <w:r w:rsidRPr="2EEB26EF">
        <w:rPr>
          <w:rFonts w:cs="Times New Roman"/>
        </w:rPr>
        <w:t xml:space="preserve">Outlook: </w:t>
      </w:r>
      <w:r w:rsidR="69E50347" w:rsidRPr="2EEB26EF">
        <w:rPr>
          <w:rFonts w:cs="Times New Roman"/>
        </w:rPr>
        <w:t>Neutral</w:t>
      </w:r>
      <w:bookmarkEnd w:id="89"/>
      <w:bookmarkEnd w:id="90"/>
    </w:p>
    <w:p w14:paraId="3A1C56D9" w14:textId="58C4440D" w:rsidR="008B733A" w:rsidRPr="00BC0D8E" w:rsidRDefault="02FFA956" w:rsidP="005757E2">
      <w:pPr>
        <w:pStyle w:val="Heading3"/>
        <w:rPr>
          <w:rFonts w:cs="Times New Roman"/>
        </w:rPr>
      </w:pPr>
      <w:bookmarkStart w:id="91" w:name="_Toc147824687"/>
      <w:bookmarkStart w:id="92" w:name="_Toc212796772"/>
      <w:r w:rsidRPr="2EEB26EF">
        <w:rPr>
          <w:rFonts w:cs="Times New Roman"/>
        </w:rPr>
        <w:t xml:space="preserve">AL Outlook: </w:t>
      </w:r>
      <w:r w:rsidR="0E563695" w:rsidRPr="2EEB26EF">
        <w:rPr>
          <w:rFonts w:cs="Times New Roman"/>
          <w:color w:val="00B050"/>
        </w:rPr>
        <w:t>Positive</w:t>
      </w:r>
      <w:bookmarkEnd w:id="91"/>
      <w:bookmarkEnd w:id="92"/>
    </w:p>
    <w:p w14:paraId="6C3CA4D6" w14:textId="5AB90EBF" w:rsidR="008B733A" w:rsidRPr="00BC0D8E" w:rsidRDefault="02FFA956" w:rsidP="2535092B">
      <w:pPr>
        <w:spacing w:before="240" w:after="240"/>
        <w:rPr>
          <w:rFonts w:ascii="Times New Roman" w:hAnsi="Times New Roman" w:cs="Times New Roman"/>
        </w:rPr>
      </w:pPr>
      <w:r w:rsidRPr="0227D82F">
        <w:rPr>
          <w:rFonts w:ascii="Times New Roman" w:hAnsi="Times New Roman" w:cs="Times New Roman"/>
          <w:b/>
          <w:bCs/>
        </w:rPr>
        <w:t>Recommended Action:</w:t>
      </w:r>
      <w:r w:rsidR="0075184D">
        <w:t xml:space="preserve"> </w:t>
      </w:r>
      <w:commentRangeStart w:id="93"/>
      <w:r w:rsidR="7F8220A9" w:rsidRPr="0227D82F">
        <w:rPr>
          <w:rFonts w:ascii="Times New Roman" w:hAnsi="Times New Roman" w:cs="Times New Roman"/>
        </w:rPr>
        <w:t>N/A</w:t>
      </w:r>
      <w:commentRangeEnd w:id="93"/>
      <w:r>
        <w:rPr>
          <w:rStyle w:val="CommentReference"/>
        </w:rPr>
        <w:commentReference w:id="93"/>
      </w:r>
    </w:p>
    <w:p w14:paraId="2833EA7B" w14:textId="5D59D43C" w:rsidR="008B733A" w:rsidRPr="00BC0D8E" w:rsidRDefault="5D83B746" w:rsidP="2535092B">
      <w:pPr>
        <w:rPr>
          <w:rFonts w:ascii="Times New Roman" w:eastAsia="Times New Roman" w:hAnsi="Times New Roman" w:cs="Times New Roman"/>
          <w:b/>
          <w:bCs/>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Calvert, Alabama - Stainless Steel Mill</w:t>
      </w:r>
      <w:r w:rsidR="6BC98D8C" w:rsidRPr="2535092B">
        <w:rPr>
          <w:rFonts w:ascii="Times New Roman" w:eastAsia="Times New Roman" w:hAnsi="Times New Roman" w:cs="Times New Roman"/>
          <w:b/>
          <w:bCs/>
        </w:rPr>
        <w:t xml:space="preserve"> </w:t>
      </w:r>
    </w:p>
    <w:p w14:paraId="06CD2F89" w14:textId="77777777" w:rsidR="00DA25FA" w:rsidRPr="00956486" w:rsidRDefault="00DA25FA" w:rsidP="00DA25FA">
      <w:pPr>
        <w:pStyle w:val="NormalWeb"/>
        <w:rPr>
          <w:sz w:val="22"/>
          <w:szCs w:val="22"/>
        </w:rPr>
      </w:pPr>
      <w:r w:rsidRPr="00956486">
        <w:rPr>
          <w:rStyle w:val="Strong"/>
          <w:rFonts w:eastAsiaTheme="majorEastAsia"/>
          <w:sz w:val="22"/>
          <w:szCs w:val="22"/>
        </w:rPr>
        <w:t>Key Takeaways</w:t>
      </w:r>
    </w:p>
    <w:p w14:paraId="08A540C3" w14:textId="77777777" w:rsidR="00DA25FA" w:rsidRPr="00956486" w:rsidRDefault="00DA25FA" w:rsidP="00127934">
      <w:pPr>
        <w:pStyle w:val="NormalWeb"/>
        <w:numPr>
          <w:ilvl w:val="0"/>
          <w:numId w:val="67"/>
        </w:numPr>
        <w:rPr>
          <w:sz w:val="22"/>
          <w:szCs w:val="22"/>
        </w:rPr>
      </w:pPr>
      <w:r w:rsidRPr="00956486">
        <w:rPr>
          <w:sz w:val="22"/>
          <w:szCs w:val="22"/>
        </w:rPr>
        <w:t>Outokumpu delivered solid Q2 2025 results amid continued market normalization, with volumes and profitability improving sequentially despite pricing headwinds.</w:t>
      </w:r>
    </w:p>
    <w:p w14:paraId="46B22FD6" w14:textId="77777777" w:rsidR="00DA25FA" w:rsidRPr="00956486" w:rsidRDefault="00DA25FA" w:rsidP="00127934">
      <w:pPr>
        <w:pStyle w:val="NormalWeb"/>
        <w:numPr>
          <w:ilvl w:val="0"/>
          <w:numId w:val="67"/>
        </w:numPr>
        <w:rPr>
          <w:sz w:val="22"/>
          <w:szCs w:val="22"/>
        </w:rPr>
      </w:pPr>
      <w:r w:rsidRPr="00956486">
        <w:rPr>
          <w:sz w:val="22"/>
          <w:szCs w:val="22"/>
        </w:rPr>
        <w:lastRenderedPageBreak/>
        <w:t xml:space="preserve">The </w:t>
      </w:r>
      <w:r w:rsidRPr="00956486">
        <w:rPr>
          <w:rStyle w:val="Strong"/>
          <w:rFonts w:eastAsiaTheme="majorEastAsia"/>
          <w:sz w:val="22"/>
          <w:szCs w:val="22"/>
        </w:rPr>
        <w:t>Americas segment</w:t>
      </w:r>
      <w:r w:rsidRPr="00956486">
        <w:rPr>
          <w:sz w:val="22"/>
          <w:szCs w:val="22"/>
        </w:rPr>
        <w:t xml:space="preserve">, anchored by the </w:t>
      </w:r>
      <w:r w:rsidRPr="00956486">
        <w:rPr>
          <w:rStyle w:val="Strong"/>
          <w:rFonts w:eastAsiaTheme="majorEastAsia"/>
          <w:sz w:val="22"/>
          <w:szCs w:val="22"/>
        </w:rPr>
        <w:t>Calvert, Alabama mill</w:t>
      </w:r>
      <w:r w:rsidRPr="00956486">
        <w:rPr>
          <w:sz w:val="22"/>
          <w:szCs w:val="22"/>
        </w:rPr>
        <w:t>, was the strongest regional performer, with stable profitability and higher utilization rates.</w:t>
      </w:r>
    </w:p>
    <w:p w14:paraId="3CE20B05" w14:textId="77777777" w:rsidR="00DA25FA" w:rsidRPr="00956486" w:rsidRDefault="00DA25FA" w:rsidP="00127934">
      <w:pPr>
        <w:pStyle w:val="NormalWeb"/>
        <w:numPr>
          <w:ilvl w:val="0"/>
          <w:numId w:val="67"/>
        </w:numPr>
        <w:rPr>
          <w:sz w:val="22"/>
          <w:szCs w:val="22"/>
        </w:rPr>
      </w:pPr>
      <w:r w:rsidRPr="00956486">
        <w:rPr>
          <w:sz w:val="22"/>
          <w:szCs w:val="22"/>
        </w:rPr>
        <w:t>Stainless steel demand from automotive, appliances, and infrastructure rebounded modestly, supporting higher shipment volumes across all segments.</w:t>
      </w:r>
    </w:p>
    <w:p w14:paraId="46CD9655" w14:textId="77777777" w:rsidR="00DA25FA" w:rsidRPr="00956486" w:rsidRDefault="00DA25FA" w:rsidP="00127934">
      <w:pPr>
        <w:pStyle w:val="NormalWeb"/>
        <w:numPr>
          <w:ilvl w:val="0"/>
          <w:numId w:val="67"/>
        </w:numPr>
        <w:rPr>
          <w:sz w:val="22"/>
          <w:szCs w:val="22"/>
        </w:rPr>
      </w:pPr>
      <w:r w:rsidRPr="00956486">
        <w:rPr>
          <w:sz w:val="22"/>
          <w:szCs w:val="22"/>
        </w:rPr>
        <w:t>The company maintained its cautious outlook for H2 but emphasized strengthening operational execution, balance sheet discipline, and customer alignment in North America.</w:t>
      </w:r>
    </w:p>
    <w:p w14:paraId="580D1AB6" w14:textId="77777777" w:rsidR="00DA25FA" w:rsidRPr="00956486" w:rsidRDefault="00DA25FA" w:rsidP="00127934">
      <w:pPr>
        <w:pStyle w:val="NormalWeb"/>
        <w:numPr>
          <w:ilvl w:val="0"/>
          <w:numId w:val="67"/>
        </w:numPr>
        <w:rPr>
          <w:sz w:val="22"/>
          <w:szCs w:val="22"/>
        </w:rPr>
      </w:pPr>
      <w:r w:rsidRPr="00956486">
        <w:rPr>
          <w:sz w:val="22"/>
          <w:szCs w:val="22"/>
        </w:rPr>
        <w:t>Strategic priorities include increasing value-added product mix, enhancing energy efficiency, and maintaining flexibility in production scheduling.</w:t>
      </w:r>
    </w:p>
    <w:p w14:paraId="09C69E2C" w14:textId="77777777" w:rsidR="00DA25FA" w:rsidRPr="00956486" w:rsidRDefault="00DA25FA" w:rsidP="00127934">
      <w:pPr>
        <w:pStyle w:val="NormalWeb"/>
        <w:numPr>
          <w:ilvl w:val="0"/>
          <w:numId w:val="67"/>
        </w:numPr>
        <w:rPr>
          <w:sz w:val="22"/>
          <w:szCs w:val="22"/>
        </w:rPr>
      </w:pPr>
      <w:r w:rsidRPr="00956486">
        <w:rPr>
          <w:sz w:val="22"/>
          <w:szCs w:val="22"/>
        </w:rPr>
        <w:t xml:space="preserve">Outokumpu reiterated its FY2025 guidance and emphasized the strategic importance of its U.S. footprint, particularly </w:t>
      </w:r>
      <w:r w:rsidRPr="00956486">
        <w:rPr>
          <w:rStyle w:val="Strong"/>
          <w:rFonts w:eastAsiaTheme="majorEastAsia"/>
          <w:sz w:val="22"/>
          <w:szCs w:val="22"/>
        </w:rPr>
        <w:t>Calvert</w:t>
      </w:r>
      <w:r w:rsidRPr="00956486">
        <w:rPr>
          <w:sz w:val="22"/>
          <w:szCs w:val="22"/>
        </w:rPr>
        <w:t>, as reshoring and infrastructure investments boost regional demand.</w:t>
      </w:r>
    </w:p>
    <w:p w14:paraId="23AEC099" w14:textId="77777777" w:rsidR="00DA25FA" w:rsidRPr="00956486" w:rsidRDefault="00DA25FA" w:rsidP="00DA25FA">
      <w:pPr>
        <w:pStyle w:val="NormalWeb"/>
        <w:rPr>
          <w:sz w:val="22"/>
          <w:szCs w:val="22"/>
        </w:rPr>
      </w:pPr>
      <w:r w:rsidRPr="00956486">
        <w:rPr>
          <w:rStyle w:val="Strong"/>
          <w:rFonts w:eastAsiaTheme="majorEastAsia"/>
          <w:sz w:val="22"/>
          <w:szCs w:val="22"/>
        </w:rPr>
        <w:t>Financial Highlights</w:t>
      </w:r>
    </w:p>
    <w:p w14:paraId="021F736B" w14:textId="77777777" w:rsidR="00DA25FA" w:rsidRPr="00956486" w:rsidRDefault="00DA25FA" w:rsidP="00127934">
      <w:pPr>
        <w:pStyle w:val="NormalWeb"/>
        <w:numPr>
          <w:ilvl w:val="0"/>
          <w:numId w:val="68"/>
        </w:numPr>
        <w:rPr>
          <w:sz w:val="22"/>
          <w:szCs w:val="22"/>
        </w:rPr>
      </w:pPr>
      <w:r w:rsidRPr="00956486">
        <w:rPr>
          <w:sz w:val="22"/>
          <w:szCs w:val="22"/>
        </w:rPr>
        <w:t xml:space="preserve">Revenue: </w:t>
      </w:r>
      <w:r w:rsidRPr="00956486">
        <w:rPr>
          <w:rStyle w:val="Strong"/>
          <w:rFonts w:eastAsiaTheme="majorEastAsia"/>
          <w:sz w:val="22"/>
          <w:szCs w:val="22"/>
        </w:rPr>
        <w:t>€2.05 billion</w:t>
      </w:r>
      <w:r w:rsidRPr="00956486">
        <w:rPr>
          <w:sz w:val="22"/>
          <w:szCs w:val="22"/>
        </w:rPr>
        <w:t>, down 4% YoY due to lower alloy surcharges and base prices, but up 3% sequentially on volume gains.</w:t>
      </w:r>
    </w:p>
    <w:p w14:paraId="0B9B8E71" w14:textId="77777777" w:rsidR="00DA25FA" w:rsidRPr="00956486" w:rsidRDefault="00DA25FA" w:rsidP="00127934">
      <w:pPr>
        <w:pStyle w:val="NormalWeb"/>
        <w:numPr>
          <w:ilvl w:val="0"/>
          <w:numId w:val="68"/>
        </w:numPr>
        <w:rPr>
          <w:sz w:val="22"/>
          <w:szCs w:val="22"/>
        </w:rPr>
      </w:pPr>
      <w:r w:rsidRPr="00956486">
        <w:rPr>
          <w:sz w:val="22"/>
          <w:szCs w:val="22"/>
        </w:rPr>
        <w:t xml:space="preserve">Adjusted EBITDA: </w:t>
      </w:r>
      <w:r w:rsidRPr="00956486">
        <w:rPr>
          <w:rStyle w:val="Strong"/>
          <w:rFonts w:eastAsiaTheme="majorEastAsia"/>
          <w:sz w:val="22"/>
          <w:szCs w:val="22"/>
        </w:rPr>
        <w:t>€211 million</w:t>
      </w:r>
      <w:r w:rsidRPr="00956486">
        <w:rPr>
          <w:sz w:val="22"/>
          <w:szCs w:val="22"/>
        </w:rPr>
        <w:t>, up 12% QoQ; Americas contributed €91 million (~43% of total EBITDA).</w:t>
      </w:r>
    </w:p>
    <w:p w14:paraId="69B42BDD" w14:textId="77777777" w:rsidR="00DA25FA" w:rsidRPr="00956486" w:rsidRDefault="00DA25FA" w:rsidP="00127934">
      <w:pPr>
        <w:pStyle w:val="NormalWeb"/>
        <w:numPr>
          <w:ilvl w:val="0"/>
          <w:numId w:val="68"/>
        </w:numPr>
        <w:rPr>
          <w:sz w:val="22"/>
          <w:szCs w:val="22"/>
        </w:rPr>
      </w:pPr>
      <w:r w:rsidRPr="00956486">
        <w:rPr>
          <w:sz w:val="22"/>
          <w:szCs w:val="22"/>
        </w:rPr>
        <w:t xml:space="preserve">Net income: </w:t>
      </w:r>
      <w:r w:rsidRPr="00956486">
        <w:rPr>
          <w:rStyle w:val="Strong"/>
          <w:rFonts w:eastAsiaTheme="majorEastAsia"/>
          <w:sz w:val="22"/>
          <w:szCs w:val="22"/>
        </w:rPr>
        <w:t>€77 million</w:t>
      </w:r>
      <w:r w:rsidRPr="00956486">
        <w:rPr>
          <w:sz w:val="22"/>
          <w:szCs w:val="22"/>
        </w:rPr>
        <w:t xml:space="preserve">, or </w:t>
      </w:r>
      <w:r w:rsidRPr="00956486">
        <w:rPr>
          <w:rStyle w:val="Strong"/>
          <w:rFonts w:eastAsiaTheme="majorEastAsia"/>
          <w:sz w:val="22"/>
          <w:szCs w:val="22"/>
        </w:rPr>
        <w:t>€0.21/share</w:t>
      </w:r>
      <w:r w:rsidRPr="00956486">
        <w:rPr>
          <w:sz w:val="22"/>
          <w:szCs w:val="22"/>
        </w:rPr>
        <w:t>, compared to €101 million YoY.</w:t>
      </w:r>
    </w:p>
    <w:p w14:paraId="4003B191" w14:textId="77777777" w:rsidR="00DA25FA" w:rsidRPr="00956486" w:rsidRDefault="00DA25FA" w:rsidP="00127934">
      <w:pPr>
        <w:pStyle w:val="NormalWeb"/>
        <w:numPr>
          <w:ilvl w:val="0"/>
          <w:numId w:val="68"/>
        </w:numPr>
        <w:rPr>
          <w:sz w:val="22"/>
          <w:szCs w:val="22"/>
        </w:rPr>
      </w:pPr>
      <w:r w:rsidRPr="00956486">
        <w:rPr>
          <w:sz w:val="22"/>
          <w:szCs w:val="22"/>
        </w:rPr>
        <w:t xml:space="preserve">Net debt: </w:t>
      </w:r>
      <w:r w:rsidRPr="00956486">
        <w:rPr>
          <w:rStyle w:val="Strong"/>
          <w:rFonts w:eastAsiaTheme="majorEastAsia"/>
          <w:sz w:val="22"/>
          <w:szCs w:val="22"/>
        </w:rPr>
        <w:t>€1.02 billion</w:t>
      </w:r>
      <w:r w:rsidRPr="00956486">
        <w:rPr>
          <w:sz w:val="22"/>
          <w:szCs w:val="22"/>
        </w:rPr>
        <w:t xml:space="preserve">, flat QoQ; net debt/EBITDA ratio of </w:t>
      </w:r>
      <w:r w:rsidRPr="00956486">
        <w:rPr>
          <w:rStyle w:val="Strong"/>
          <w:rFonts w:eastAsiaTheme="majorEastAsia"/>
          <w:sz w:val="22"/>
          <w:szCs w:val="22"/>
        </w:rPr>
        <w:t>1.1x</w:t>
      </w:r>
      <w:r w:rsidRPr="00956486">
        <w:rPr>
          <w:sz w:val="22"/>
          <w:szCs w:val="22"/>
        </w:rPr>
        <w:t>, well within target.</w:t>
      </w:r>
    </w:p>
    <w:p w14:paraId="68BFCEA1" w14:textId="77777777" w:rsidR="00DA25FA" w:rsidRPr="00956486" w:rsidRDefault="00DA25FA" w:rsidP="00127934">
      <w:pPr>
        <w:pStyle w:val="NormalWeb"/>
        <w:numPr>
          <w:ilvl w:val="0"/>
          <w:numId w:val="68"/>
        </w:numPr>
        <w:rPr>
          <w:sz w:val="22"/>
          <w:szCs w:val="22"/>
        </w:rPr>
      </w:pPr>
      <w:r w:rsidRPr="00956486">
        <w:rPr>
          <w:sz w:val="22"/>
          <w:szCs w:val="22"/>
        </w:rPr>
        <w:t xml:space="preserve">Return on capital employed (ROCE): </w:t>
      </w:r>
      <w:r w:rsidRPr="00956486">
        <w:rPr>
          <w:rStyle w:val="Strong"/>
          <w:rFonts w:eastAsiaTheme="majorEastAsia"/>
          <w:sz w:val="22"/>
          <w:szCs w:val="22"/>
        </w:rPr>
        <w:t>9.7%</w:t>
      </w:r>
      <w:r w:rsidRPr="00956486">
        <w:rPr>
          <w:sz w:val="22"/>
          <w:szCs w:val="22"/>
        </w:rPr>
        <w:t>, up from 8.1% in Q1.</w:t>
      </w:r>
    </w:p>
    <w:p w14:paraId="2166F738" w14:textId="77777777" w:rsidR="00DA25FA" w:rsidRPr="00956486" w:rsidRDefault="00DA25FA" w:rsidP="00127934">
      <w:pPr>
        <w:pStyle w:val="NormalWeb"/>
        <w:numPr>
          <w:ilvl w:val="0"/>
          <w:numId w:val="68"/>
        </w:numPr>
        <w:rPr>
          <w:sz w:val="22"/>
          <w:szCs w:val="22"/>
        </w:rPr>
      </w:pPr>
      <w:r w:rsidRPr="00956486">
        <w:rPr>
          <w:sz w:val="22"/>
          <w:szCs w:val="22"/>
        </w:rPr>
        <w:t xml:space="preserve">Operating cash flow: </w:t>
      </w:r>
      <w:r w:rsidRPr="00956486">
        <w:rPr>
          <w:rStyle w:val="Strong"/>
          <w:rFonts w:eastAsiaTheme="majorEastAsia"/>
          <w:sz w:val="22"/>
          <w:szCs w:val="22"/>
        </w:rPr>
        <w:t>€163 million</w:t>
      </w:r>
      <w:r w:rsidRPr="00956486">
        <w:rPr>
          <w:sz w:val="22"/>
          <w:szCs w:val="22"/>
        </w:rPr>
        <w:t>, driven by inventory normalization and strong Americas performance.</w:t>
      </w:r>
    </w:p>
    <w:p w14:paraId="0626D512" w14:textId="77777777" w:rsidR="00DA25FA" w:rsidRPr="00956486" w:rsidRDefault="00DA25FA" w:rsidP="00DA25FA">
      <w:pPr>
        <w:pStyle w:val="NormalWeb"/>
        <w:rPr>
          <w:sz w:val="22"/>
          <w:szCs w:val="22"/>
        </w:rPr>
      </w:pPr>
      <w:r w:rsidRPr="00956486">
        <w:rPr>
          <w:rStyle w:val="Strong"/>
          <w:rFonts w:eastAsiaTheme="majorEastAsia"/>
          <w:sz w:val="22"/>
          <w:szCs w:val="22"/>
        </w:rPr>
        <w:t>Operational Highlights</w:t>
      </w:r>
    </w:p>
    <w:p w14:paraId="1AC8D015" w14:textId="77777777" w:rsidR="00DA25FA" w:rsidRPr="00956486" w:rsidRDefault="00DA25FA" w:rsidP="00127934">
      <w:pPr>
        <w:pStyle w:val="NormalWeb"/>
        <w:numPr>
          <w:ilvl w:val="0"/>
          <w:numId w:val="69"/>
        </w:numPr>
        <w:rPr>
          <w:sz w:val="22"/>
          <w:szCs w:val="22"/>
        </w:rPr>
      </w:pPr>
      <w:r w:rsidRPr="00956486">
        <w:rPr>
          <w:sz w:val="22"/>
          <w:szCs w:val="22"/>
        </w:rPr>
        <w:t xml:space="preserve">Stainless steel deliveries increased </w:t>
      </w:r>
      <w:r w:rsidRPr="00956486">
        <w:rPr>
          <w:rStyle w:val="Strong"/>
          <w:rFonts w:eastAsiaTheme="majorEastAsia"/>
          <w:sz w:val="22"/>
          <w:szCs w:val="22"/>
        </w:rPr>
        <w:t>5% QoQ</w:t>
      </w:r>
      <w:r w:rsidRPr="00956486">
        <w:rPr>
          <w:sz w:val="22"/>
          <w:szCs w:val="22"/>
        </w:rPr>
        <w:t>, with demand strongest in the Americas and segments like automotive and energy.</w:t>
      </w:r>
    </w:p>
    <w:p w14:paraId="24E3867A" w14:textId="77777777" w:rsidR="00DA25FA" w:rsidRPr="00956486" w:rsidRDefault="00DA25FA" w:rsidP="00127934">
      <w:pPr>
        <w:pStyle w:val="NormalWeb"/>
        <w:numPr>
          <w:ilvl w:val="0"/>
          <w:numId w:val="69"/>
        </w:numPr>
        <w:rPr>
          <w:sz w:val="22"/>
          <w:szCs w:val="22"/>
        </w:rPr>
      </w:pPr>
      <w:r w:rsidRPr="00956486">
        <w:rPr>
          <w:rStyle w:val="Strong"/>
          <w:rFonts w:eastAsiaTheme="majorEastAsia"/>
          <w:sz w:val="22"/>
          <w:szCs w:val="22"/>
        </w:rPr>
        <w:t>Calvert, Alabama facility</w:t>
      </w:r>
      <w:r w:rsidRPr="00956486">
        <w:rPr>
          <w:sz w:val="22"/>
          <w:szCs w:val="22"/>
        </w:rPr>
        <w:t xml:space="preserve"> operated at </w:t>
      </w:r>
      <w:r w:rsidRPr="00956486">
        <w:rPr>
          <w:rStyle w:val="Strong"/>
          <w:rFonts w:eastAsiaTheme="majorEastAsia"/>
          <w:sz w:val="22"/>
          <w:szCs w:val="22"/>
        </w:rPr>
        <w:t>~90% capacity</w:t>
      </w:r>
      <w:r w:rsidRPr="00956486">
        <w:rPr>
          <w:sz w:val="22"/>
          <w:szCs w:val="22"/>
        </w:rPr>
        <w:t>, supplying flat-rolled products to infrastructure, appliance, and distribution sectors.</w:t>
      </w:r>
    </w:p>
    <w:p w14:paraId="47AACFC9" w14:textId="77777777" w:rsidR="00DA25FA" w:rsidRPr="00956486" w:rsidRDefault="00DA25FA" w:rsidP="00127934">
      <w:pPr>
        <w:pStyle w:val="NormalWeb"/>
        <w:numPr>
          <w:ilvl w:val="0"/>
          <w:numId w:val="69"/>
        </w:numPr>
        <w:rPr>
          <w:sz w:val="22"/>
          <w:szCs w:val="22"/>
        </w:rPr>
      </w:pPr>
      <w:r w:rsidRPr="00956486">
        <w:rPr>
          <w:sz w:val="22"/>
          <w:szCs w:val="22"/>
        </w:rPr>
        <w:t>Alloy surcharges and base pricing softened in Europe but remained more resilient in the Americas, helping support profitability.</w:t>
      </w:r>
    </w:p>
    <w:p w14:paraId="7EF22736" w14:textId="77777777" w:rsidR="00DA25FA" w:rsidRPr="00956486" w:rsidRDefault="00DA25FA" w:rsidP="00127934">
      <w:pPr>
        <w:pStyle w:val="NormalWeb"/>
        <w:numPr>
          <w:ilvl w:val="0"/>
          <w:numId w:val="69"/>
        </w:numPr>
        <w:rPr>
          <w:sz w:val="22"/>
          <w:szCs w:val="22"/>
        </w:rPr>
      </w:pPr>
      <w:r w:rsidRPr="00956486">
        <w:rPr>
          <w:sz w:val="22"/>
          <w:szCs w:val="22"/>
        </w:rPr>
        <w:t>Energy costs stabilized in the U.S., providing a comparative cost advantage versus European operations.</w:t>
      </w:r>
    </w:p>
    <w:p w14:paraId="2AD7309D" w14:textId="77777777" w:rsidR="00DA25FA" w:rsidRPr="00956486" w:rsidRDefault="00DA25FA" w:rsidP="00127934">
      <w:pPr>
        <w:pStyle w:val="NormalWeb"/>
        <w:numPr>
          <w:ilvl w:val="0"/>
          <w:numId w:val="69"/>
        </w:numPr>
        <w:rPr>
          <w:sz w:val="22"/>
          <w:szCs w:val="22"/>
        </w:rPr>
      </w:pPr>
      <w:r w:rsidRPr="00956486">
        <w:rPr>
          <w:sz w:val="22"/>
          <w:szCs w:val="22"/>
        </w:rPr>
        <w:t>Calvert’s position near key Gulf Coast and Southeastern markets allowed for shorter lead times and improved margin realization.</w:t>
      </w:r>
    </w:p>
    <w:p w14:paraId="1C70C364" w14:textId="77777777" w:rsidR="00DA25FA" w:rsidRPr="00956486" w:rsidRDefault="00DA25FA" w:rsidP="00127934">
      <w:pPr>
        <w:pStyle w:val="NormalWeb"/>
        <w:numPr>
          <w:ilvl w:val="0"/>
          <w:numId w:val="69"/>
        </w:numPr>
        <w:rPr>
          <w:sz w:val="22"/>
          <w:szCs w:val="22"/>
        </w:rPr>
      </w:pPr>
      <w:r w:rsidRPr="00956486">
        <w:rPr>
          <w:sz w:val="22"/>
          <w:szCs w:val="22"/>
        </w:rPr>
        <w:t>Reliability and uptime at Calvert improved following completion of maintenance outages in Q1.</w:t>
      </w:r>
    </w:p>
    <w:p w14:paraId="2D048A54" w14:textId="77777777" w:rsidR="00DA25FA" w:rsidRPr="00956486" w:rsidRDefault="00DA25FA" w:rsidP="00DA25FA">
      <w:pPr>
        <w:pStyle w:val="NormalWeb"/>
        <w:rPr>
          <w:sz w:val="22"/>
          <w:szCs w:val="22"/>
        </w:rPr>
      </w:pPr>
      <w:r w:rsidRPr="00956486">
        <w:rPr>
          <w:rStyle w:val="Strong"/>
          <w:rFonts w:eastAsiaTheme="majorEastAsia"/>
          <w:sz w:val="22"/>
          <w:szCs w:val="22"/>
        </w:rPr>
        <w:t>Business Expansions &amp; Capital Expenditure Plans</w:t>
      </w:r>
    </w:p>
    <w:p w14:paraId="223B786E" w14:textId="77777777" w:rsidR="00DA25FA" w:rsidRPr="00956486" w:rsidRDefault="00DA25FA" w:rsidP="00127934">
      <w:pPr>
        <w:pStyle w:val="NormalWeb"/>
        <w:numPr>
          <w:ilvl w:val="0"/>
          <w:numId w:val="70"/>
        </w:numPr>
        <w:rPr>
          <w:sz w:val="22"/>
          <w:szCs w:val="22"/>
        </w:rPr>
      </w:pPr>
      <w:r w:rsidRPr="00956486">
        <w:rPr>
          <w:sz w:val="22"/>
          <w:szCs w:val="22"/>
        </w:rPr>
        <w:t xml:space="preserve">Q2 </w:t>
      </w:r>
      <w:proofErr w:type="spellStart"/>
      <w:r w:rsidRPr="00956486">
        <w:rPr>
          <w:sz w:val="22"/>
          <w:szCs w:val="22"/>
        </w:rPr>
        <w:t>CapEx</w:t>
      </w:r>
      <w:proofErr w:type="spellEnd"/>
      <w:r w:rsidRPr="00956486">
        <w:rPr>
          <w:sz w:val="22"/>
          <w:szCs w:val="22"/>
        </w:rPr>
        <w:t xml:space="preserve">: </w:t>
      </w:r>
      <w:r w:rsidRPr="00956486">
        <w:rPr>
          <w:rStyle w:val="Strong"/>
          <w:rFonts w:eastAsiaTheme="majorEastAsia"/>
          <w:sz w:val="22"/>
          <w:szCs w:val="22"/>
        </w:rPr>
        <w:t>€76 million</w:t>
      </w:r>
      <w:r w:rsidRPr="00956486">
        <w:rPr>
          <w:sz w:val="22"/>
          <w:szCs w:val="22"/>
        </w:rPr>
        <w:t xml:space="preserve">; full-year guidance: </w:t>
      </w:r>
      <w:r w:rsidRPr="00956486">
        <w:rPr>
          <w:rStyle w:val="Strong"/>
          <w:rFonts w:eastAsiaTheme="majorEastAsia"/>
          <w:sz w:val="22"/>
          <w:szCs w:val="22"/>
        </w:rPr>
        <w:t>€320–340 million</w:t>
      </w:r>
      <w:r w:rsidRPr="00956486">
        <w:rPr>
          <w:sz w:val="22"/>
          <w:szCs w:val="22"/>
        </w:rPr>
        <w:t>, flat vs. FY2024.</w:t>
      </w:r>
    </w:p>
    <w:p w14:paraId="5E87EB7A" w14:textId="77777777" w:rsidR="00DA25FA" w:rsidRPr="00956486" w:rsidRDefault="00DA25FA" w:rsidP="00127934">
      <w:pPr>
        <w:pStyle w:val="NormalWeb"/>
        <w:numPr>
          <w:ilvl w:val="0"/>
          <w:numId w:val="70"/>
        </w:numPr>
        <w:rPr>
          <w:sz w:val="22"/>
          <w:szCs w:val="22"/>
        </w:rPr>
      </w:pPr>
      <w:r w:rsidRPr="00956486">
        <w:rPr>
          <w:sz w:val="22"/>
          <w:szCs w:val="22"/>
        </w:rPr>
        <w:t>Investment priorities:</w:t>
      </w:r>
    </w:p>
    <w:p w14:paraId="1F618728" w14:textId="77777777" w:rsidR="00DA25FA" w:rsidRPr="00956486" w:rsidRDefault="00DA25FA" w:rsidP="00127934">
      <w:pPr>
        <w:pStyle w:val="NormalWeb"/>
        <w:numPr>
          <w:ilvl w:val="1"/>
          <w:numId w:val="70"/>
        </w:numPr>
        <w:rPr>
          <w:sz w:val="22"/>
          <w:szCs w:val="22"/>
        </w:rPr>
      </w:pPr>
      <w:r w:rsidRPr="00956486">
        <w:rPr>
          <w:rStyle w:val="Strong"/>
          <w:rFonts w:eastAsiaTheme="majorEastAsia"/>
          <w:sz w:val="22"/>
          <w:szCs w:val="22"/>
        </w:rPr>
        <w:t xml:space="preserve">Calvert hot rolling mill </w:t>
      </w:r>
      <w:proofErr w:type="gramStart"/>
      <w:r w:rsidRPr="00956486">
        <w:rPr>
          <w:rStyle w:val="Strong"/>
          <w:rFonts w:eastAsiaTheme="majorEastAsia"/>
          <w:sz w:val="22"/>
          <w:szCs w:val="22"/>
        </w:rPr>
        <w:t>upgrades</w:t>
      </w:r>
      <w:r w:rsidRPr="00956486">
        <w:rPr>
          <w:sz w:val="22"/>
          <w:szCs w:val="22"/>
        </w:rPr>
        <w:t>:</w:t>
      </w:r>
      <w:proofErr w:type="gramEnd"/>
      <w:r w:rsidRPr="00956486">
        <w:rPr>
          <w:sz w:val="22"/>
          <w:szCs w:val="22"/>
        </w:rPr>
        <w:t xml:space="preserve"> drive automation and gauge control improvements</w:t>
      </w:r>
    </w:p>
    <w:p w14:paraId="7B8AC938" w14:textId="77777777" w:rsidR="00DA25FA" w:rsidRPr="00956486" w:rsidRDefault="00DA25FA" w:rsidP="00127934">
      <w:pPr>
        <w:pStyle w:val="NormalWeb"/>
        <w:numPr>
          <w:ilvl w:val="1"/>
          <w:numId w:val="70"/>
        </w:numPr>
        <w:rPr>
          <w:sz w:val="22"/>
          <w:szCs w:val="22"/>
        </w:rPr>
      </w:pPr>
      <w:r w:rsidRPr="00956486">
        <w:rPr>
          <w:sz w:val="22"/>
          <w:szCs w:val="22"/>
        </w:rPr>
        <w:t>Furnace and pickling line optimization for surface quality enhancement</w:t>
      </w:r>
    </w:p>
    <w:p w14:paraId="16565252" w14:textId="77777777" w:rsidR="00DA25FA" w:rsidRPr="00956486" w:rsidRDefault="00DA25FA" w:rsidP="00127934">
      <w:pPr>
        <w:pStyle w:val="NormalWeb"/>
        <w:numPr>
          <w:ilvl w:val="1"/>
          <w:numId w:val="70"/>
        </w:numPr>
        <w:rPr>
          <w:sz w:val="22"/>
          <w:szCs w:val="22"/>
        </w:rPr>
      </w:pPr>
      <w:r w:rsidRPr="00956486">
        <w:rPr>
          <w:sz w:val="22"/>
          <w:szCs w:val="22"/>
        </w:rPr>
        <w:t xml:space="preserve">Continued investment in </w:t>
      </w:r>
      <w:r w:rsidRPr="00956486">
        <w:rPr>
          <w:rStyle w:val="Strong"/>
          <w:rFonts w:eastAsiaTheme="majorEastAsia"/>
          <w:sz w:val="22"/>
          <w:szCs w:val="22"/>
        </w:rPr>
        <w:t>energy and emissions efficiency</w:t>
      </w:r>
      <w:r w:rsidRPr="00956486">
        <w:rPr>
          <w:sz w:val="22"/>
          <w:szCs w:val="22"/>
        </w:rPr>
        <w:t xml:space="preserve"> at Alabama operations</w:t>
      </w:r>
    </w:p>
    <w:p w14:paraId="08A0D9B3" w14:textId="77777777" w:rsidR="00DA25FA" w:rsidRPr="00956486" w:rsidRDefault="00DA25FA" w:rsidP="00127934">
      <w:pPr>
        <w:pStyle w:val="NormalWeb"/>
        <w:numPr>
          <w:ilvl w:val="0"/>
          <w:numId w:val="70"/>
        </w:numPr>
        <w:rPr>
          <w:sz w:val="22"/>
          <w:szCs w:val="22"/>
        </w:rPr>
      </w:pPr>
      <w:r w:rsidRPr="00956486">
        <w:rPr>
          <w:sz w:val="22"/>
          <w:szCs w:val="22"/>
        </w:rPr>
        <w:t>Company-wide efforts on decarbonization include:</w:t>
      </w:r>
    </w:p>
    <w:p w14:paraId="1DCC6D90" w14:textId="77777777" w:rsidR="00DA25FA" w:rsidRPr="00956486" w:rsidRDefault="00DA25FA" w:rsidP="00127934">
      <w:pPr>
        <w:pStyle w:val="NormalWeb"/>
        <w:numPr>
          <w:ilvl w:val="1"/>
          <w:numId w:val="70"/>
        </w:numPr>
        <w:rPr>
          <w:sz w:val="22"/>
          <w:szCs w:val="22"/>
        </w:rPr>
      </w:pPr>
      <w:r w:rsidRPr="00956486">
        <w:rPr>
          <w:sz w:val="22"/>
          <w:szCs w:val="22"/>
        </w:rPr>
        <w:t>Electricity sourcing transition to renewables (ongoing in U.S. Southeast)</w:t>
      </w:r>
    </w:p>
    <w:p w14:paraId="4693F65E" w14:textId="77777777" w:rsidR="00DA25FA" w:rsidRPr="00956486" w:rsidRDefault="00DA25FA" w:rsidP="00127934">
      <w:pPr>
        <w:pStyle w:val="NormalWeb"/>
        <w:numPr>
          <w:ilvl w:val="1"/>
          <w:numId w:val="70"/>
        </w:numPr>
        <w:rPr>
          <w:sz w:val="22"/>
          <w:szCs w:val="22"/>
        </w:rPr>
      </w:pPr>
      <w:r w:rsidRPr="00956486">
        <w:rPr>
          <w:sz w:val="22"/>
          <w:szCs w:val="22"/>
        </w:rPr>
        <w:t>Pilot programs for scrap recovery optimization</w:t>
      </w:r>
    </w:p>
    <w:p w14:paraId="355F51CF" w14:textId="77777777" w:rsidR="00DA25FA" w:rsidRPr="00956486" w:rsidRDefault="00DA25FA" w:rsidP="00127934">
      <w:pPr>
        <w:pStyle w:val="NormalWeb"/>
        <w:numPr>
          <w:ilvl w:val="0"/>
          <w:numId w:val="70"/>
        </w:numPr>
        <w:rPr>
          <w:sz w:val="22"/>
          <w:szCs w:val="22"/>
        </w:rPr>
      </w:pPr>
      <w:r w:rsidRPr="00956486">
        <w:rPr>
          <w:sz w:val="22"/>
          <w:szCs w:val="22"/>
        </w:rPr>
        <w:lastRenderedPageBreak/>
        <w:t xml:space="preserve">No major greenfield expansions planned, but </w:t>
      </w:r>
      <w:r w:rsidRPr="00956486">
        <w:rPr>
          <w:rStyle w:val="Strong"/>
          <w:rFonts w:eastAsiaTheme="majorEastAsia"/>
          <w:sz w:val="22"/>
          <w:szCs w:val="22"/>
        </w:rPr>
        <w:t>Calvert is expected to receive further investments in 2026–2027</w:t>
      </w:r>
      <w:r w:rsidRPr="00956486">
        <w:rPr>
          <w:sz w:val="22"/>
          <w:szCs w:val="22"/>
        </w:rPr>
        <w:t>, tied to capacity optimization and potential automotive demand growth.</w:t>
      </w:r>
    </w:p>
    <w:p w14:paraId="24D24DFD" w14:textId="77777777" w:rsidR="00DA25FA" w:rsidRPr="00956486" w:rsidRDefault="00DA25FA" w:rsidP="00DA25FA">
      <w:pPr>
        <w:pStyle w:val="NormalWeb"/>
        <w:rPr>
          <w:sz w:val="22"/>
          <w:szCs w:val="22"/>
        </w:rPr>
      </w:pPr>
      <w:r w:rsidRPr="00956486">
        <w:rPr>
          <w:rStyle w:val="Strong"/>
          <w:rFonts w:eastAsiaTheme="majorEastAsia"/>
          <w:sz w:val="22"/>
          <w:szCs w:val="22"/>
        </w:rPr>
        <w:t>Segment Performance &amp; Outlook</w:t>
      </w:r>
    </w:p>
    <w:p w14:paraId="3306A9F1" w14:textId="77777777" w:rsidR="00DA25FA" w:rsidRPr="00956486" w:rsidRDefault="00DA25FA" w:rsidP="00127934">
      <w:pPr>
        <w:pStyle w:val="NormalWeb"/>
        <w:numPr>
          <w:ilvl w:val="0"/>
          <w:numId w:val="71"/>
        </w:numPr>
        <w:rPr>
          <w:sz w:val="22"/>
          <w:szCs w:val="22"/>
        </w:rPr>
      </w:pPr>
      <w:r w:rsidRPr="00956486">
        <w:rPr>
          <w:rStyle w:val="Strong"/>
          <w:rFonts w:eastAsiaTheme="majorEastAsia"/>
          <w:sz w:val="22"/>
          <w:szCs w:val="22"/>
        </w:rPr>
        <w:t>Americas</w:t>
      </w:r>
      <w:r w:rsidRPr="00956486">
        <w:rPr>
          <w:sz w:val="22"/>
          <w:szCs w:val="22"/>
        </w:rPr>
        <w:t xml:space="preserve"> (includes </w:t>
      </w:r>
      <w:r w:rsidRPr="00956486">
        <w:rPr>
          <w:rStyle w:val="Strong"/>
          <w:rFonts w:eastAsiaTheme="majorEastAsia"/>
          <w:sz w:val="22"/>
          <w:szCs w:val="22"/>
        </w:rPr>
        <w:t>Calvert, AL</w:t>
      </w:r>
      <w:r w:rsidRPr="00956486">
        <w:rPr>
          <w:sz w:val="22"/>
          <w:szCs w:val="22"/>
        </w:rPr>
        <w:t>):</w:t>
      </w:r>
    </w:p>
    <w:p w14:paraId="21B263E3" w14:textId="77777777" w:rsidR="00DA25FA" w:rsidRPr="00956486" w:rsidRDefault="00DA25FA" w:rsidP="00127934">
      <w:pPr>
        <w:pStyle w:val="NormalWeb"/>
        <w:numPr>
          <w:ilvl w:val="1"/>
          <w:numId w:val="71"/>
        </w:numPr>
        <w:rPr>
          <w:sz w:val="22"/>
          <w:szCs w:val="22"/>
        </w:rPr>
      </w:pPr>
      <w:r w:rsidRPr="00956486">
        <w:rPr>
          <w:sz w:val="22"/>
          <w:szCs w:val="22"/>
        </w:rPr>
        <w:t xml:space="preserve">Adjusted EBITDA: </w:t>
      </w:r>
      <w:r w:rsidRPr="00956486">
        <w:rPr>
          <w:rStyle w:val="Strong"/>
          <w:rFonts w:eastAsiaTheme="majorEastAsia"/>
          <w:sz w:val="22"/>
          <w:szCs w:val="22"/>
        </w:rPr>
        <w:t>€91 million</w:t>
      </w:r>
      <w:r w:rsidRPr="00956486">
        <w:rPr>
          <w:sz w:val="22"/>
          <w:szCs w:val="22"/>
        </w:rPr>
        <w:t xml:space="preserve"> (flat YoY, +17% QoQ)</w:t>
      </w:r>
    </w:p>
    <w:p w14:paraId="53AEAD11" w14:textId="77777777" w:rsidR="00DA25FA" w:rsidRPr="00956486" w:rsidRDefault="00DA25FA" w:rsidP="00127934">
      <w:pPr>
        <w:pStyle w:val="NormalWeb"/>
        <w:numPr>
          <w:ilvl w:val="1"/>
          <w:numId w:val="71"/>
        </w:numPr>
        <w:rPr>
          <w:sz w:val="22"/>
          <w:szCs w:val="22"/>
        </w:rPr>
      </w:pPr>
      <w:r w:rsidRPr="00956486">
        <w:rPr>
          <w:sz w:val="22"/>
          <w:szCs w:val="22"/>
        </w:rPr>
        <w:t>Shipments rose 6% QoQ; ASP declined slightly due to alloy mix normalization</w:t>
      </w:r>
    </w:p>
    <w:p w14:paraId="6F324874" w14:textId="77777777" w:rsidR="00DA25FA" w:rsidRPr="00956486" w:rsidRDefault="00DA25FA" w:rsidP="00127934">
      <w:pPr>
        <w:pStyle w:val="NormalWeb"/>
        <w:numPr>
          <w:ilvl w:val="1"/>
          <w:numId w:val="71"/>
        </w:numPr>
        <w:rPr>
          <w:sz w:val="22"/>
          <w:szCs w:val="22"/>
        </w:rPr>
      </w:pPr>
      <w:r w:rsidRPr="00956486">
        <w:rPr>
          <w:sz w:val="22"/>
          <w:szCs w:val="22"/>
        </w:rPr>
        <w:t>Margin strength driven by operating leverage, improved logistics, and energy stability</w:t>
      </w:r>
    </w:p>
    <w:p w14:paraId="77127DD4" w14:textId="77777777" w:rsidR="00DA25FA" w:rsidRPr="00956486" w:rsidRDefault="00DA25FA" w:rsidP="00127934">
      <w:pPr>
        <w:pStyle w:val="NormalWeb"/>
        <w:numPr>
          <w:ilvl w:val="1"/>
          <w:numId w:val="71"/>
        </w:numPr>
        <w:rPr>
          <w:sz w:val="22"/>
          <w:szCs w:val="22"/>
        </w:rPr>
      </w:pPr>
      <w:r w:rsidRPr="00956486">
        <w:rPr>
          <w:sz w:val="22"/>
          <w:szCs w:val="22"/>
        </w:rPr>
        <w:t>Calvert continues to benefit from reshoring trends and growing demand for North American stainless supply</w:t>
      </w:r>
    </w:p>
    <w:p w14:paraId="1B72193E" w14:textId="77777777" w:rsidR="00DA25FA" w:rsidRPr="00956486" w:rsidRDefault="00DA25FA" w:rsidP="00127934">
      <w:pPr>
        <w:pStyle w:val="NormalWeb"/>
        <w:numPr>
          <w:ilvl w:val="1"/>
          <w:numId w:val="71"/>
        </w:numPr>
        <w:rPr>
          <w:sz w:val="22"/>
          <w:szCs w:val="22"/>
        </w:rPr>
      </w:pPr>
      <w:r w:rsidRPr="00956486">
        <w:rPr>
          <w:sz w:val="22"/>
          <w:szCs w:val="22"/>
        </w:rPr>
        <w:t>Outlook: expect continued strong performance in Q3, though at slightly lower ASPs</w:t>
      </w:r>
    </w:p>
    <w:p w14:paraId="033F104E" w14:textId="77777777" w:rsidR="00DA25FA" w:rsidRPr="00956486" w:rsidRDefault="00DA25FA" w:rsidP="00127934">
      <w:pPr>
        <w:pStyle w:val="NormalWeb"/>
        <w:numPr>
          <w:ilvl w:val="0"/>
          <w:numId w:val="71"/>
        </w:numPr>
        <w:rPr>
          <w:sz w:val="22"/>
          <w:szCs w:val="22"/>
        </w:rPr>
      </w:pPr>
      <w:r w:rsidRPr="00956486">
        <w:rPr>
          <w:rStyle w:val="Strong"/>
          <w:rFonts w:eastAsiaTheme="majorEastAsia"/>
          <w:sz w:val="22"/>
          <w:szCs w:val="22"/>
        </w:rPr>
        <w:t>Europe</w:t>
      </w:r>
      <w:r w:rsidRPr="00956486">
        <w:rPr>
          <w:sz w:val="22"/>
          <w:szCs w:val="22"/>
        </w:rPr>
        <w:t>:</w:t>
      </w:r>
    </w:p>
    <w:p w14:paraId="25613D54" w14:textId="77777777" w:rsidR="00DA25FA" w:rsidRPr="00956486" w:rsidRDefault="00DA25FA" w:rsidP="00127934">
      <w:pPr>
        <w:pStyle w:val="NormalWeb"/>
        <w:numPr>
          <w:ilvl w:val="1"/>
          <w:numId w:val="71"/>
        </w:numPr>
        <w:rPr>
          <w:sz w:val="22"/>
          <w:szCs w:val="22"/>
        </w:rPr>
      </w:pPr>
      <w:r w:rsidRPr="00956486">
        <w:rPr>
          <w:sz w:val="22"/>
          <w:szCs w:val="22"/>
        </w:rPr>
        <w:t>Adjusted EBITDA: €85 million (−11% YoY)</w:t>
      </w:r>
    </w:p>
    <w:p w14:paraId="1E7A93D1" w14:textId="77777777" w:rsidR="00DA25FA" w:rsidRPr="00956486" w:rsidRDefault="00DA25FA" w:rsidP="00127934">
      <w:pPr>
        <w:pStyle w:val="NormalWeb"/>
        <w:numPr>
          <w:ilvl w:val="1"/>
          <w:numId w:val="71"/>
        </w:numPr>
        <w:rPr>
          <w:sz w:val="22"/>
          <w:szCs w:val="22"/>
        </w:rPr>
      </w:pPr>
      <w:r w:rsidRPr="00956486">
        <w:rPr>
          <w:sz w:val="22"/>
          <w:szCs w:val="22"/>
        </w:rPr>
        <w:t>Demand recovering slowly; alloy prices and energy volatility remain headwinds</w:t>
      </w:r>
    </w:p>
    <w:p w14:paraId="5F856A4D" w14:textId="77777777" w:rsidR="00DA25FA" w:rsidRPr="00956486" w:rsidRDefault="00DA25FA" w:rsidP="00127934">
      <w:pPr>
        <w:pStyle w:val="NormalWeb"/>
        <w:numPr>
          <w:ilvl w:val="1"/>
          <w:numId w:val="71"/>
        </w:numPr>
        <w:rPr>
          <w:sz w:val="22"/>
          <w:szCs w:val="22"/>
        </w:rPr>
      </w:pPr>
      <w:r w:rsidRPr="00956486">
        <w:rPr>
          <w:sz w:val="22"/>
          <w:szCs w:val="22"/>
        </w:rPr>
        <w:t>Lower utilization and longer lead times reduced contribution margin</w:t>
      </w:r>
    </w:p>
    <w:p w14:paraId="1C4C00B7" w14:textId="77777777" w:rsidR="00DA25FA" w:rsidRPr="00956486" w:rsidRDefault="00DA25FA" w:rsidP="00127934">
      <w:pPr>
        <w:pStyle w:val="NormalWeb"/>
        <w:numPr>
          <w:ilvl w:val="0"/>
          <w:numId w:val="71"/>
        </w:numPr>
        <w:rPr>
          <w:sz w:val="22"/>
          <w:szCs w:val="22"/>
        </w:rPr>
      </w:pPr>
      <w:r w:rsidRPr="00956486">
        <w:rPr>
          <w:rStyle w:val="Strong"/>
          <w:rFonts w:eastAsiaTheme="majorEastAsia"/>
          <w:sz w:val="22"/>
          <w:szCs w:val="22"/>
        </w:rPr>
        <w:t>Ferrochrome</w:t>
      </w:r>
      <w:r w:rsidRPr="00956486">
        <w:rPr>
          <w:sz w:val="22"/>
          <w:szCs w:val="22"/>
        </w:rPr>
        <w:t>:</w:t>
      </w:r>
    </w:p>
    <w:p w14:paraId="2AC41FCF" w14:textId="77777777" w:rsidR="00DA25FA" w:rsidRPr="00956486" w:rsidRDefault="00DA25FA" w:rsidP="00127934">
      <w:pPr>
        <w:pStyle w:val="NormalWeb"/>
        <w:numPr>
          <w:ilvl w:val="1"/>
          <w:numId w:val="71"/>
        </w:numPr>
        <w:rPr>
          <w:sz w:val="22"/>
          <w:szCs w:val="22"/>
        </w:rPr>
      </w:pPr>
      <w:r w:rsidRPr="00956486">
        <w:rPr>
          <w:sz w:val="22"/>
          <w:szCs w:val="22"/>
        </w:rPr>
        <w:t>Adjusted EBITDA: €35 million (−15% YoY); pricing pressure due to global oversupply</w:t>
      </w:r>
    </w:p>
    <w:p w14:paraId="41050BEF" w14:textId="77777777" w:rsidR="00DA25FA" w:rsidRPr="00956486" w:rsidRDefault="00DA25FA" w:rsidP="00127934">
      <w:pPr>
        <w:pStyle w:val="NormalWeb"/>
        <w:numPr>
          <w:ilvl w:val="1"/>
          <w:numId w:val="71"/>
        </w:numPr>
        <w:rPr>
          <w:sz w:val="22"/>
          <w:szCs w:val="22"/>
        </w:rPr>
      </w:pPr>
      <w:r w:rsidRPr="00956486">
        <w:rPr>
          <w:sz w:val="22"/>
          <w:szCs w:val="22"/>
        </w:rPr>
        <w:t>Cost efficiency efforts helped stabilize profit contribution</w:t>
      </w:r>
    </w:p>
    <w:p w14:paraId="79A7B174" w14:textId="77777777" w:rsidR="00DA25FA" w:rsidRPr="00956486" w:rsidRDefault="00DA25FA" w:rsidP="00127934">
      <w:pPr>
        <w:pStyle w:val="NormalWeb"/>
        <w:numPr>
          <w:ilvl w:val="1"/>
          <w:numId w:val="71"/>
        </w:numPr>
        <w:rPr>
          <w:sz w:val="22"/>
          <w:szCs w:val="22"/>
        </w:rPr>
      </w:pPr>
      <w:r w:rsidRPr="00956486">
        <w:rPr>
          <w:sz w:val="22"/>
          <w:szCs w:val="22"/>
        </w:rPr>
        <w:t>North American operations not exposed to this segment</w:t>
      </w:r>
    </w:p>
    <w:p w14:paraId="314FA2FB" w14:textId="77777777" w:rsidR="00DA25FA" w:rsidRPr="00956486" w:rsidRDefault="00DA25FA" w:rsidP="00127934">
      <w:pPr>
        <w:pStyle w:val="NormalWeb"/>
        <w:numPr>
          <w:ilvl w:val="0"/>
          <w:numId w:val="71"/>
        </w:numPr>
        <w:rPr>
          <w:sz w:val="22"/>
          <w:szCs w:val="22"/>
        </w:rPr>
      </w:pPr>
      <w:r w:rsidRPr="00956486">
        <w:rPr>
          <w:rStyle w:val="Strong"/>
          <w:rFonts w:eastAsiaTheme="majorEastAsia"/>
          <w:sz w:val="22"/>
          <w:szCs w:val="22"/>
        </w:rPr>
        <w:t>Outlook</w:t>
      </w:r>
      <w:r w:rsidRPr="00956486">
        <w:rPr>
          <w:sz w:val="22"/>
          <w:szCs w:val="22"/>
        </w:rPr>
        <w:t>:</w:t>
      </w:r>
    </w:p>
    <w:p w14:paraId="572C4A21" w14:textId="77777777" w:rsidR="00DA25FA" w:rsidRPr="00956486" w:rsidRDefault="00DA25FA" w:rsidP="00127934">
      <w:pPr>
        <w:pStyle w:val="NormalWeb"/>
        <w:numPr>
          <w:ilvl w:val="1"/>
          <w:numId w:val="71"/>
        </w:numPr>
        <w:rPr>
          <w:sz w:val="22"/>
          <w:szCs w:val="22"/>
        </w:rPr>
      </w:pPr>
      <w:r w:rsidRPr="00956486">
        <w:rPr>
          <w:sz w:val="22"/>
          <w:szCs w:val="22"/>
        </w:rPr>
        <w:t xml:space="preserve">Q3 adjusted EBITDA expected to be in the </w:t>
      </w:r>
      <w:r w:rsidRPr="00956486">
        <w:rPr>
          <w:rStyle w:val="Strong"/>
          <w:rFonts w:eastAsiaTheme="majorEastAsia"/>
          <w:sz w:val="22"/>
          <w:szCs w:val="22"/>
        </w:rPr>
        <w:t>€180–220 million</w:t>
      </w:r>
      <w:r w:rsidRPr="00956486">
        <w:rPr>
          <w:sz w:val="22"/>
          <w:szCs w:val="22"/>
        </w:rPr>
        <w:t xml:space="preserve"> range</w:t>
      </w:r>
    </w:p>
    <w:p w14:paraId="5924B0C0" w14:textId="77777777" w:rsidR="00DA25FA" w:rsidRPr="00956486" w:rsidRDefault="00DA25FA" w:rsidP="00127934">
      <w:pPr>
        <w:pStyle w:val="NormalWeb"/>
        <w:numPr>
          <w:ilvl w:val="1"/>
          <w:numId w:val="71"/>
        </w:numPr>
        <w:rPr>
          <w:sz w:val="22"/>
          <w:szCs w:val="22"/>
        </w:rPr>
      </w:pPr>
      <w:r w:rsidRPr="00956486">
        <w:rPr>
          <w:sz w:val="22"/>
          <w:szCs w:val="22"/>
        </w:rPr>
        <w:t>Stainless steel shipments expected to be stable or slightly up sequentially</w:t>
      </w:r>
    </w:p>
    <w:p w14:paraId="6F9D8AA4" w14:textId="77777777" w:rsidR="00DA25FA" w:rsidRPr="00956486" w:rsidRDefault="00DA25FA" w:rsidP="00127934">
      <w:pPr>
        <w:pStyle w:val="NormalWeb"/>
        <w:numPr>
          <w:ilvl w:val="1"/>
          <w:numId w:val="71"/>
        </w:numPr>
        <w:rPr>
          <w:sz w:val="22"/>
          <w:szCs w:val="22"/>
        </w:rPr>
      </w:pPr>
      <w:r w:rsidRPr="00956486">
        <w:rPr>
          <w:sz w:val="22"/>
          <w:szCs w:val="22"/>
        </w:rPr>
        <w:t xml:space="preserve">Americas segment (including </w:t>
      </w:r>
      <w:r w:rsidRPr="00956486">
        <w:rPr>
          <w:rStyle w:val="Strong"/>
          <w:rFonts w:eastAsiaTheme="majorEastAsia"/>
          <w:sz w:val="22"/>
          <w:szCs w:val="22"/>
        </w:rPr>
        <w:t>Calvert, AL</w:t>
      </w:r>
      <w:r w:rsidRPr="00956486">
        <w:rPr>
          <w:sz w:val="22"/>
          <w:szCs w:val="22"/>
        </w:rPr>
        <w:t>) expected to remain key earnings driver due to favorable mix and cost environment</w:t>
      </w:r>
    </w:p>
    <w:p w14:paraId="09DCAE11" w14:textId="77777777" w:rsidR="00DA25FA" w:rsidRDefault="00DA25FA" w:rsidP="00127934">
      <w:pPr>
        <w:pStyle w:val="NormalWeb"/>
        <w:numPr>
          <w:ilvl w:val="1"/>
          <w:numId w:val="71"/>
        </w:numPr>
      </w:pPr>
      <w:r w:rsidRPr="00956486">
        <w:rPr>
          <w:sz w:val="22"/>
          <w:szCs w:val="22"/>
        </w:rPr>
        <w:t>Management remains cautious on pricing but optimistic on structural tailwinds from U.S. infrastructure, appliances, and energy sectors</w:t>
      </w:r>
    </w:p>
    <w:p w14:paraId="2EC7D7A7" w14:textId="237CD978" w:rsidR="008B733A" w:rsidRPr="00BC0D8E" w:rsidRDefault="008B733A" w:rsidP="2535092B">
      <w:pPr>
        <w:rPr>
          <w:rFonts w:ascii="Times New Roman" w:eastAsia="Times New Roman" w:hAnsi="Times New Roman" w:cs="Times New Roman"/>
          <w:color w:val="000000" w:themeColor="text1"/>
        </w:rPr>
      </w:pPr>
    </w:p>
    <w:p w14:paraId="6707B101" w14:textId="1E858FAF" w:rsidR="008B733A" w:rsidRPr="00BC0D8E" w:rsidRDefault="34354836" w:rsidP="005757E2">
      <w:pPr>
        <w:pStyle w:val="Heading2"/>
        <w:rPr>
          <w:rFonts w:cs="Times New Roman"/>
        </w:rPr>
      </w:pPr>
      <w:bookmarkStart w:id="94" w:name="_Toc147824688"/>
      <w:bookmarkStart w:id="95" w:name="_Toc212796773"/>
      <w:r w:rsidRPr="2535092B">
        <w:rPr>
          <w:rFonts w:cs="Times New Roman"/>
        </w:rPr>
        <w:t>Packaging Corporation of America (NYSE:PKG)</w:t>
      </w:r>
      <w:bookmarkEnd w:id="94"/>
      <w:bookmarkEnd w:id="95"/>
      <w:r w:rsidRPr="2535092B">
        <w:rPr>
          <w:rFonts w:cs="Times New Roman"/>
        </w:rPr>
        <w:t xml:space="preserve"> </w:t>
      </w:r>
    </w:p>
    <w:p w14:paraId="2D1E681A" w14:textId="0BDF124B" w:rsidR="008B733A" w:rsidRPr="00BC0D8E" w:rsidRDefault="02FFA956" w:rsidP="2535092B">
      <w:pPr>
        <w:pStyle w:val="Heading3"/>
        <w:rPr>
          <w:rFonts w:eastAsia="Times New Roman" w:cs="Times New Roman"/>
          <w:color w:val="00B050"/>
        </w:rPr>
      </w:pPr>
      <w:bookmarkStart w:id="96" w:name="_Toc147824689"/>
      <w:bookmarkStart w:id="97" w:name="_Toc212796774"/>
      <w:r w:rsidRPr="2EEB26EF">
        <w:rPr>
          <w:rFonts w:cs="Times New Roman"/>
        </w:rPr>
        <w:t xml:space="preserve">Outlook: </w:t>
      </w:r>
      <w:r w:rsidR="692755C1" w:rsidRPr="2EEB26EF">
        <w:rPr>
          <w:rFonts w:cs="Times New Roman"/>
          <w:color w:val="00B050"/>
        </w:rPr>
        <w:t>Positive</w:t>
      </w:r>
      <w:bookmarkEnd w:id="96"/>
      <w:bookmarkEnd w:id="97"/>
    </w:p>
    <w:p w14:paraId="028C8723" w14:textId="0BF5C7FE" w:rsidR="008B733A" w:rsidRPr="00BC0D8E" w:rsidRDefault="02FFA956" w:rsidP="2535092B">
      <w:pPr>
        <w:pStyle w:val="Heading3"/>
        <w:rPr>
          <w:rFonts w:eastAsia="Times New Roman" w:cs="Times New Roman"/>
          <w:color w:val="00B050"/>
        </w:rPr>
      </w:pPr>
      <w:bookmarkStart w:id="98" w:name="_Toc147824690"/>
      <w:bookmarkStart w:id="99" w:name="_Toc212796775"/>
      <w:r w:rsidRPr="2EEB26EF">
        <w:rPr>
          <w:rFonts w:cs="Times New Roman"/>
        </w:rPr>
        <w:t xml:space="preserve">AL Outlook: </w:t>
      </w:r>
      <w:r w:rsidR="0CD131A4" w:rsidRPr="2EEB26EF">
        <w:rPr>
          <w:rFonts w:cs="Times New Roman"/>
          <w:color w:val="00B050"/>
        </w:rPr>
        <w:t>Positive</w:t>
      </w:r>
      <w:bookmarkEnd w:id="98"/>
      <w:bookmarkEnd w:id="99"/>
    </w:p>
    <w:p w14:paraId="64290D73" w14:textId="465719AE" w:rsidR="008B733A" w:rsidRPr="00BC0D8E" w:rsidRDefault="02FFA956" w:rsidP="2535092B">
      <w:pPr>
        <w:rPr>
          <w:rFonts w:ascii="Times New Roman" w:hAnsi="Times New Roman" w:cs="Times New Roman"/>
        </w:rPr>
      </w:pPr>
      <w:r w:rsidRPr="2EEB26EF">
        <w:rPr>
          <w:rFonts w:ascii="Times New Roman" w:hAnsi="Times New Roman" w:cs="Times New Roman"/>
          <w:b/>
          <w:bCs/>
        </w:rPr>
        <w:t>Recommended Action:</w:t>
      </w:r>
      <w:r w:rsidRPr="2EEB26EF">
        <w:rPr>
          <w:rFonts w:ascii="Times New Roman" w:hAnsi="Times New Roman" w:cs="Times New Roman"/>
        </w:rPr>
        <w:t xml:space="preserve"> </w:t>
      </w:r>
      <w:r w:rsidR="004C3697" w:rsidRPr="004C3697">
        <w:rPr>
          <w:rFonts w:ascii="Times New Roman" w:hAnsi="Times New Roman" w:cs="Times New Roman"/>
        </w:rPr>
        <w:t xml:space="preserve">Engage with Alabama corrugated and paper operations (Opelika, Madison, Jackson) as PCA </w:t>
      </w:r>
      <w:commentRangeStart w:id="100"/>
      <w:r w:rsidR="600A32D6" w:rsidRPr="152BE23B">
        <w:rPr>
          <w:rFonts w:ascii="Times New Roman" w:hAnsi="Times New Roman" w:cs="Times New Roman"/>
        </w:rPr>
        <w:t>invests in brownfield expansions.</w:t>
      </w:r>
      <w:commentRangeEnd w:id="100"/>
      <w:r>
        <w:rPr>
          <w:rStyle w:val="CommentReference"/>
        </w:rPr>
        <w:commentReference w:id="100"/>
      </w:r>
    </w:p>
    <w:p w14:paraId="3F50D21B" w14:textId="53116535" w:rsidR="00F71615" w:rsidRDefault="7AF20744" w:rsidP="3CA273EB">
      <w:pPr>
        <w:rPr>
          <w:rFonts w:ascii="Times New Roman" w:eastAsia="Times New Roman" w:hAnsi="Times New Roman" w:cs="Times New Roman"/>
          <w:color w:val="000000" w:themeColor="text1"/>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Jackson: Containerboard manufacturing; Opelika: Corrugated shipping container manufacturing; Madison: Corrugated boxes manufacturing; Jackson: Uncoated free sheet manufacturing</w:t>
      </w:r>
    </w:p>
    <w:p w14:paraId="55C76CFA" w14:textId="77777777" w:rsidR="00526EC4" w:rsidRPr="00956486" w:rsidRDefault="00526EC4" w:rsidP="00526EC4">
      <w:pPr>
        <w:pStyle w:val="NormalWeb"/>
        <w:rPr>
          <w:sz w:val="22"/>
          <w:szCs w:val="22"/>
        </w:rPr>
      </w:pPr>
      <w:r w:rsidRPr="00956486">
        <w:rPr>
          <w:rStyle w:val="Strong"/>
          <w:rFonts w:eastAsiaTheme="majorEastAsia"/>
          <w:sz w:val="22"/>
          <w:szCs w:val="22"/>
        </w:rPr>
        <w:t>Key Takeaways</w:t>
      </w:r>
    </w:p>
    <w:p w14:paraId="5EAC925A" w14:textId="77777777" w:rsidR="00526EC4" w:rsidRPr="00956486" w:rsidRDefault="00526EC4" w:rsidP="00127934">
      <w:pPr>
        <w:pStyle w:val="NormalWeb"/>
        <w:numPr>
          <w:ilvl w:val="0"/>
          <w:numId w:val="72"/>
        </w:numPr>
        <w:rPr>
          <w:sz w:val="22"/>
          <w:szCs w:val="22"/>
        </w:rPr>
      </w:pPr>
      <w:r w:rsidRPr="00956486">
        <w:rPr>
          <w:sz w:val="22"/>
          <w:szCs w:val="22"/>
        </w:rPr>
        <w:t xml:space="preserve">PCA posted </w:t>
      </w:r>
      <w:r w:rsidRPr="00956486">
        <w:rPr>
          <w:rStyle w:val="Strong"/>
          <w:rFonts w:eastAsiaTheme="majorEastAsia"/>
          <w:sz w:val="22"/>
          <w:szCs w:val="22"/>
        </w:rPr>
        <w:t>strong Q2 2025 results</w:t>
      </w:r>
      <w:r w:rsidRPr="00956486">
        <w:rPr>
          <w:sz w:val="22"/>
          <w:szCs w:val="22"/>
        </w:rPr>
        <w:t>, with better-than-expected earnings driven by higher corrugated volumes, favorable input costs, and operating efficiencies.</w:t>
      </w:r>
    </w:p>
    <w:p w14:paraId="1D77773D" w14:textId="77777777" w:rsidR="00526EC4" w:rsidRPr="00956486" w:rsidRDefault="00526EC4" w:rsidP="00127934">
      <w:pPr>
        <w:pStyle w:val="NormalWeb"/>
        <w:numPr>
          <w:ilvl w:val="0"/>
          <w:numId w:val="72"/>
        </w:numPr>
        <w:rPr>
          <w:sz w:val="22"/>
          <w:szCs w:val="22"/>
        </w:rPr>
      </w:pPr>
      <w:r w:rsidRPr="00956486">
        <w:rPr>
          <w:sz w:val="22"/>
          <w:szCs w:val="22"/>
        </w:rPr>
        <w:t>Demand for packaging products improved across food, beverage, industrial, and e-commerce end markets.</w:t>
      </w:r>
    </w:p>
    <w:p w14:paraId="0B263242" w14:textId="33656A7F" w:rsidR="00526EC4" w:rsidRPr="00956486" w:rsidRDefault="00526EC4" w:rsidP="00127934">
      <w:pPr>
        <w:pStyle w:val="NormalWeb"/>
        <w:numPr>
          <w:ilvl w:val="0"/>
          <w:numId w:val="72"/>
        </w:numPr>
        <w:rPr>
          <w:sz w:val="22"/>
          <w:szCs w:val="22"/>
        </w:rPr>
      </w:pPr>
      <w:commentRangeStart w:id="101"/>
      <w:commentRangeStart w:id="102"/>
      <w:r w:rsidRPr="00956486">
        <w:rPr>
          <w:sz w:val="22"/>
          <w:szCs w:val="22"/>
        </w:rPr>
        <w:t>Management highlighted solid operating performance across the company’s mill and converting systems</w:t>
      </w:r>
      <w:r w:rsidRPr="0227D82F">
        <w:rPr>
          <w:sz w:val="22"/>
          <w:szCs w:val="22"/>
        </w:rPr>
        <w:t>.</w:t>
      </w:r>
      <w:commentRangeEnd w:id="101"/>
      <w:r>
        <w:rPr>
          <w:rStyle w:val="CommentReference"/>
        </w:rPr>
        <w:commentReference w:id="101"/>
      </w:r>
      <w:commentRangeEnd w:id="102"/>
      <w:r>
        <w:rPr>
          <w:rStyle w:val="CommentReference"/>
        </w:rPr>
        <w:commentReference w:id="102"/>
      </w:r>
    </w:p>
    <w:p w14:paraId="5362D24F" w14:textId="77777777" w:rsidR="00526EC4" w:rsidRPr="00956486" w:rsidRDefault="00526EC4" w:rsidP="00127934">
      <w:pPr>
        <w:pStyle w:val="NormalWeb"/>
        <w:numPr>
          <w:ilvl w:val="0"/>
          <w:numId w:val="72"/>
        </w:numPr>
        <w:rPr>
          <w:sz w:val="22"/>
          <w:szCs w:val="22"/>
        </w:rPr>
      </w:pPr>
      <w:r w:rsidRPr="00956486">
        <w:rPr>
          <w:sz w:val="22"/>
          <w:szCs w:val="22"/>
        </w:rPr>
        <w:lastRenderedPageBreak/>
        <w:t xml:space="preserve">Box demand recovery accelerated </w:t>
      </w:r>
      <w:proofErr w:type="gramStart"/>
      <w:r w:rsidRPr="00956486">
        <w:rPr>
          <w:sz w:val="22"/>
          <w:szCs w:val="22"/>
        </w:rPr>
        <w:t>through</w:t>
      </w:r>
      <w:proofErr w:type="gramEnd"/>
      <w:r w:rsidRPr="00956486">
        <w:rPr>
          <w:sz w:val="22"/>
          <w:szCs w:val="22"/>
        </w:rPr>
        <w:t xml:space="preserve"> the quarter, with June shipments particularly strong, pointing to continued growth in Q3.</w:t>
      </w:r>
    </w:p>
    <w:p w14:paraId="112B13B8" w14:textId="77777777" w:rsidR="00526EC4" w:rsidRPr="00956486" w:rsidRDefault="00526EC4" w:rsidP="00127934">
      <w:pPr>
        <w:pStyle w:val="NormalWeb"/>
        <w:numPr>
          <w:ilvl w:val="0"/>
          <w:numId w:val="72"/>
        </w:numPr>
        <w:rPr>
          <w:sz w:val="22"/>
          <w:szCs w:val="22"/>
        </w:rPr>
      </w:pPr>
      <w:r w:rsidRPr="00956486">
        <w:rPr>
          <w:sz w:val="22"/>
          <w:szCs w:val="22"/>
        </w:rPr>
        <w:t>Strategic priorities include investing in containerboard system efficiency, maintaining price discipline, and growing volume through enhanced service and lead times.</w:t>
      </w:r>
    </w:p>
    <w:p w14:paraId="3CA0265A" w14:textId="77777777" w:rsidR="00526EC4" w:rsidRPr="00956486" w:rsidRDefault="00526EC4" w:rsidP="00127934">
      <w:pPr>
        <w:pStyle w:val="NormalWeb"/>
        <w:numPr>
          <w:ilvl w:val="0"/>
          <w:numId w:val="72"/>
        </w:numPr>
        <w:rPr>
          <w:sz w:val="22"/>
          <w:szCs w:val="22"/>
        </w:rPr>
      </w:pPr>
      <w:r w:rsidRPr="00956486">
        <w:rPr>
          <w:sz w:val="22"/>
          <w:szCs w:val="22"/>
        </w:rPr>
        <w:t>Full-year guidance was raised due to stronger corrugated volumes, improved pricing, and input cost tailwinds.</w:t>
      </w:r>
    </w:p>
    <w:p w14:paraId="66EC207C" w14:textId="77777777" w:rsidR="00526EC4" w:rsidRPr="00956486" w:rsidRDefault="00526EC4" w:rsidP="00526EC4">
      <w:pPr>
        <w:pStyle w:val="NormalWeb"/>
        <w:rPr>
          <w:sz w:val="22"/>
          <w:szCs w:val="22"/>
        </w:rPr>
      </w:pPr>
      <w:r w:rsidRPr="00956486">
        <w:rPr>
          <w:rStyle w:val="Strong"/>
          <w:rFonts w:eastAsiaTheme="majorEastAsia"/>
          <w:sz w:val="22"/>
          <w:szCs w:val="22"/>
        </w:rPr>
        <w:t>Financial Highlights</w:t>
      </w:r>
    </w:p>
    <w:p w14:paraId="0BA7346E" w14:textId="77777777" w:rsidR="00526EC4" w:rsidRPr="00956486" w:rsidRDefault="00526EC4" w:rsidP="00127934">
      <w:pPr>
        <w:pStyle w:val="NormalWeb"/>
        <w:numPr>
          <w:ilvl w:val="0"/>
          <w:numId w:val="73"/>
        </w:numPr>
        <w:rPr>
          <w:sz w:val="22"/>
          <w:szCs w:val="22"/>
        </w:rPr>
      </w:pPr>
      <w:r w:rsidRPr="00956486">
        <w:rPr>
          <w:sz w:val="22"/>
          <w:szCs w:val="22"/>
        </w:rPr>
        <w:t xml:space="preserve">Net sales: </w:t>
      </w:r>
      <w:r w:rsidRPr="00956486">
        <w:rPr>
          <w:rStyle w:val="Strong"/>
          <w:rFonts w:eastAsiaTheme="majorEastAsia"/>
          <w:sz w:val="22"/>
          <w:szCs w:val="22"/>
        </w:rPr>
        <w:t>$2.20 billion</w:t>
      </w:r>
      <w:r w:rsidRPr="00956486">
        <w:rPr>
          <w:sz w:val="22"/>
          <w:szCs w:val="22"/>
        </w:rPr>
        <w:t>, up 5% YoY and 3% QoQ.</w:t>
      </w:r>
    </w:p>
    <w:p w14:paraId="28930B59" w14:textId="77777777" w:rsidR="00526EC4" w:rsidRPr="00956486" w:rsidRDefault="00526EC4" w:rsidP="00127934">
      <w:pPr>
        <w:pStyle w:val="NormalWeb"/>
        <w:numPr>
          <w:ilvl w:val="0"/>
          <w:numId w:val="73"/>
        </w:numPr>
        <w:rPr>
          <w:sz w:val="22"/>
          <w:szCs w:val="22"/>
        </w:rPr>
      </w:pPr>
      <w:r w:rsidRPr="00956486">
        <w:rPr>
          <w:sz w:val="22"/>
          <w:szCs w:val="22"/>
        </w:rPr>
        <w:t xml:space="preserve">Net income: </w:t>
      </w:r>
      <w:r w:rsidRPr="00956486">
        <w:rPr>
          <w:rStyle w:val="Strong"/>
          <w:rFonts w:eastAsiaTheme="majorEastAsia"/>
          <w:sz w:val="22"/>
          <w:szCs w:val="22"/>
        </w:rPr>
        <w:t>$270 million</w:t>
      </w:r>
      <w:r w:rsidRPr="00956486">
        <w:rPr>
          <w:sz w:val="22"/>
          <w:szCs w:val="22"/>
        </w:rPr>
        <w:t xml:space="preserve">, or </w:t>
      </w:r>
      <w:r w:rsidRPr="00956486">
        <w:rPr>
          <w:rStyle w:val="Strong"/>
          <w:rFonts w:eastAsiaTheme="majorEastAsia"/>
          <w:sz w:val="22"/>
          <w:szCs w:val="22"/>
        </w:rPr>
        <w:t>$2.97 per share</w:t>
      </w:r>
      <w:r w:rsidRPr="00956486">
        <w:rPr>
          <w:sz w:val="22"/>
          <w:szCs w:val="22"/>
        </w:rPr>
        <w:t>, compared to $1.88 in Q2 2024 — a 58% YoY increase.</w:t>
      </w:r>
    </w:p>
    <w:p w14:paraId="2C270F54" w14:textId="77777777" w:rsidR="00526EC4" w:rsidRPr="00956486" w:rsidRDefault="00526EC4" w:rsidP="00127934">
      <w:pPr>
        <w:pStyle w:val="NormalWeb"/>
        <w:numPr>
          <w:ilvl w:val="0"/>
          <w:numId w:val="73"/>
        </w:numPr>
        <w:rPr>
          <w:sz w:val="22"/>
          <w:szCs w:val="22"/>
        </w:rPr>
      </w:pPr>
      <w:r w:rsidRPr="00956486">
        <w:rPr>
          <w:sz w:val="22"/>
          <w:szCs w:val="22"/>
        </w:rPr>
        <w:t xml:space="preserve">EBITDA: </w:t>
      </w:r>
      <w:r w:rsidRPr="00956486">
        <w:rPr>
          <w:rStyle w:val="Strong"/>
          <w:rFonts w:eastAsiaTheme="majorEastAsia"/>
          <w:sz w:val="22"/>
          <w:szCs w:val="22"/>
        </w:rPr>
        <w:t>$505 million</w:t>
      </w:r>
      <w:r w:rsidRPr="00956486">
        <w:rPr>
          <w:sz w:val="22"/>
          <w:szCs w:val="22"/>
        </w:rPr>
        <w:t>, EBITDA margin of 22.9% (up from 18.3% YoY).</w:t>
      </w:r>
    </w:p>
    <w:p w14:paraId="7183D39E" w14:textId="77777777" w:rsidR="00526EC4" w:rsidRPr="00956486" w:rsidRDefault="00526EC4" w:rsidP="00127934">
      <w:pPr>
        <w:pStyle w:val="NormalWeb"/>
        <w:numPr>
          <w:ilvl w:val="0"/>
          <w:numId w:val="73"/>
        </w:numPr>
        <w:rPr>
          <w:sz w:val="22"/>
          <w:szCs w:val="22"/>
        </w:rPr>
      </w:pPr>
      <w:r w:rsidRPr="00956486">
        <w:rPr>
          <w:sz w:val="22"/>
          <w:szCs w:val="22"/>
        </w:rPr>
        <w:t xml:space="preserve">Free cash flow: </w:t>
      </w:r>
      <w:r w:rsidRPr="00956486">
        <w:rPr>
          <w:rStyle w:val="Strong"/>
          <w:rFonts w:eastAsiaTheme="majorEastAsia"/>
          <w:sz w:val="22"/>
          <w:szCs w:val="22"/>
        </w:rPr>
        <w:t>$336 million</w:t>
      </w:r>
      <w:r w:rsidRPr="00956486">
        <w:rPr>
          <w:sz w:val="22"/>
          <w:szCs w:val="22"/>
        </w:rPr>
        <w:t xml:space="preserve">, with stronger working capital efficiency and lower </w:t>
      </w:r>
      <w:proofErr w:type="spellStart"/>
      <w:r w:rsidRPr="00956486">
        <w:rPr>
          <w:sz w:val="22"/>
          <w:szCs w:val="22"/>
        </w:rPr>
        <w:t>CapEx</w:t>
      </w:r>
      <w:proofErr w:type="spellEnd"/>
      <w:r w:rsidRPr="00956486">
        <w:rPr>
          <w:sz w:val="22"/>
          <w:szCs w:val="22"/>
        </w:rPr>
        <w:t>.</w:t>
      </w:r>
    </w:p>
    <w:p w14:paraId="695A46E3" w14:textId="77777777" w:rsidR="00526EC4" w:rsidRPr="00956486" w:rsidRDefault="00526EC4" w:rsidP="00127934">
      <w:pPr>
        <w:pStyle w:val="NormalWeb"/>
        <w:numPr>
          <w:ilvl w:val="0"/>
          <w:numId w:val="73"/>
        </w:numPr>
        <w:rPr>
          <w:sz w:val="22"/>
          <w:szCs w:val="22"/>
        </w:rPr>
      </w:pPr>
      <w:proofErr w:type="spellStart"/>
      <w:r w:rsidRPr="00956486">
        <w:rPr>
          <w:sz w:val="22"/>
          <w:szCs w:val="22"/>
        </w:rPr>
        <w:t>CapEx</w:t>
      </w:r>
      <w:proofErr w:type="spellEnd"/>
      <w:r w:rsidRPr="00956486">
        <w:rPr>
          <w:sz w:val="22"/>
          <w:szCs w:val="22"/>
        </w:rPr>
        <w:t xml:space="preserve"> for Q2: </w:t>
      </w:r>
      <w:r w:rsidRPr="00956486">
        <w:rPr>
          <w:rStyle w:val="Strong"/>
          <w:rFonts w:eastAsiaTheme="majorEastAsia"/>
          <w:sz w:val="22"/>
          <w:szCs w:val="22"/>
        </w:rPr>
        <w:t>$139 million</w:t>
      </w:r>
      <w:r w:rsidRPr="00956486">
        <w:rPr>
          <w:sz w:val="22"/>
          <w:szCs w:val="22"/>
        </w:rPr>
        <w:t xml:space="preserve">; full-year guidance maintained at </w:t>
      </w:r>
      <w:r w:rsidRPr="00956486">
        <w:rPr>
          <w:rStyle w:val="Strong"/>
          <w:rFonts w:eastAsiaTheme="majorEastAsia"/>
          <w:sz w:val="22"/>
          <w:szCs w:val="22"/>
        </w:rPr>
        <w:t>$575–600 million</w:t>
      </w:r>
      <w:r w:rsidRPr="00956486">
        <w:rPr>
          <w:sz w:val="22"/>
          <w:szCs w:val="22"/>
        </w:rPr>
        <w:t>.</w:t>
      </w:r>
    </w:p>
    <w:p w14:paraId="475E6149" w14:textId="77777777" w:rsidR="00526EC4" w:rsidRPr="00956486" w:rsidRDefault="00526EC4" w:rsidP="00127934">
      <w:pPr>
        <w:pStyle w:val="NormalWeb"/>
        <w:numPr>
          <w:ilvl w:val="0"/>
          <w:numId w:val="73"/>
        </w:numPr>
        <w:rPr>
          <w:sz w:val="22"/>
          <w:szCs w:val="22"/>
        </w:rPr>
      </w:pPr>
      <w:r w:rsidRPr="00956486">
        <w:rPr>
          <w:sz w:val="22"/>
          <w:szCs w:val="22"/>
        </w:rPr>
        <w:t>Return on invested capital (ROIC): 14.4% for the quarter.</w:t>
      </w:r>
    </w:p>
    <w:p w14:paraId="0AC6F9CD" w14:textId="77777777" w:rsidR="00526EC4" w:rsidRPr="00956486" w:rsidRDefault="00526EC4" w:rsidP="00526EC4">
      <w:pPr>
        <w:pStyle w:val="NormalWeb"/>
        <w:rPr>
          <w:sz w:val="22"/>
          <w:szCs w:val="22"/>
        </w:rPr>
      </w:pPr>
      <w:r w:rsidRPr="00956486">
        <w:rPr>
          <w:rStyle w:val="Strong"/>
          <w:rFonts w:eastAsiaTheme="majorEastAsia"/>
          <w:sz w:val="22"/>
          <w:szCs w:val="22"/>
        </w:rPr>
        <w:t>Operational Highlights</w:t>
      </w:r>
    </w:p>
    <w:p w14:paraId="0E69DD81" w14:textId="77777777" w:rsidR="00526EC4" w:rsidRPr="00956486" w:rsidRDefault="00526EC4" w:rsidP="00127934">
      <w:pPr>
        <w:pStyle w:val="NormalWeb"/>
        <w:numPr>
          <w:ilvl w:val="0"/>
          <w:numId w:val="74"/>
        </w:numPr>
        <w:rPr>
          <w:sz w:val="22"/>
          <w:szCs w:val="22"/>
        </w:rPr>
      </w:pPr>
      <w:r w:rsidRPr="00956486">
        <w:rPr>
          <w:rStyle w:val="Strong"/>
          <w:rFonts w:eastAsiaTheme="majorEastAsia"/>
          <w:sz w:val="22"/>
          <w:szCs w:val="22"/>
        </w:rPr>
        <w:t>Corrugated Products segment</w:t>
      </w:r>
      <w:r w:rsidRPr="00956486">
        <w:rPr>
          <w:sz w:val="22"/>
          <w:szCs w:val="22"/>
        </w:rPr>
        <w:t xml:space="preserve"> delivered record Q2 shipment volume, up </w:t>
      </w:r>
      <w:r w:rsidRPr="00956486">
        <w:rPr>
          <w:rStyle w:val="Strong"/>
          <w:rFonts w:eastAsiaTheme="majorEastAsia"/>
          <w:sz w:val="22"/>
          <w:szCs w:val="22"/>
        </w:rPr>
        <w:t>6.2% YoY</w:t>
      </w:r>
      <w:r w:rsidRPr="00956486">
        <w:rPr>
          <w:sz w:val="22"/>
          <w:szCs w:val="22"/>
        </w:rPr>
        <w:t>, including a strong June performance (+8.4% YoY).</w:t>
      </w:r>
    </w:p>
    <w:p w14:paraId="0E6361E7" w14:textId="77777777" w:rsidR="00526EC4" w:rsidRPr="00956486" w:rsidRDefault="00526EC4" w:rsidP="00127934">
      <w:pPr>
        <w:pStyle w:val="NormalWeb"/>
        <w:numPr>
          <w:ilvl w:val="0"/>
          <w:numId w:val="74"/>
        </w:numPr>
        <w:rPr>
          <w:sz w:val="22"/>
          <w:szCs w:val="22"/>
        </w:rPr>
      </w:pPr>
      <w:r w:rsidRPr="00956486">
        <w:rPr>
          <w:sz w:val="22"/>
          <w:szCs w:val="22"/>
        </w:rPr>
        <w:t xml:space="preserve">Industry box shipments up 2.8% (per </w:t>
      </w:r>
      <w:proofErr w:type="spellStart"/>
      <w:r w:rsidRPr="00956486">
        <w:rPr>
          <w:sz w:val="22"/>
          <w:szCs w:val="22"/>
        </w:rPr>
        <w:t>Fibre</w:t>
      </w:r>
      <w:proofErr w:type="spellEnd"/>
      <w:r w:rsidRPr="00956486">
        <w:rPr>
          <w:sz w:val="22"/>
          <w:szCs w:val="22"/>
        </w:rPr>
        <w:t xml:space="preserve"> Box Association), with PCA well ahead of peers.</w:t>
      </w:r>
    </w:p>
    <w:p w14:paraId="15AF8BB3" w14:textId="77777777" w:rsidR="00526EC4" w:rsidRPr="00956486" w:rsidRDefault="00526EC4" w:rsidP="00127934">
      <w:pPr>
        <w:pStyle w:val="NormalWeb"/>
        <w:numPr>
          <w:ilvl w:val="0"/>
          <w:numId w:val="74"/>
        </w:numPr>
        <w:rPr>
          <w:sz w:val="22"/>
          <w:szCs w:val="22"/>
        </w:rPr>
      </w:pPr>
      <w:r w:rsidRPr="00956486">
        <w:rPr>
          <w:rStyle w:val="Strong"/>
          <w:rFonts w:eastAsiaTheme="majorEastAsia"/>
          <w:sz w:val="22"/>
          <w:szCs w:val="22"/>
        </w:rPr>
        <w:t>Madison and Opelika, AL corrugated plants</w:t>
      </w:r>
      <w:r w:rsidRPr="00956486">
        <w:rPr>
          <w:sz w:val="22"/>
          <w:szCs w:val="22"/>
        </w:rPr>
        <w:t xml:space="preserve"> ran near full capacity, benefiting from:</w:t>
      </w:r>
    </w:p>
    <w:p w14:paraId="0A8F0F06" w14:textId="77777777" w:rsidR="00526EC4" w:rsidRPr="00956486" w:rsidRDefault="00526EC4" w:rsidP="00127934">
      <w:pPr>
        <w:pStyle w:val="NormalWeb"/>
        <w:numPr>
          <w:ilvl w:val="1"/>
          <w:numId w:val="74"/>
        </w:numPr>
        <w:rPr>
          <w:sz w:val="22"/>
          <w:szCs w:val="22"/>
        </w:rPr>
      </w:pPr>
      <w:r w:rsidRPr="00956486">
        <w:rPr>
          <w:sz w:val="22"/>
          <w:szCs w:val="22"/>
        </w:rPr>
        <w:t>Fast-cycle e-commerce orders</w:t>
      </w:r>
    </w:p>
    <w:p w14:paraId="2D40071D" w14:textId="77777777" w:rsidR="00526EC4" w:rsidRPr="00956486" w:rsidRDefault="00526EC4" w:rsidP="00127934">
      <w:pPr>
        <w:pStyle w:val="NormalWeb"/>
        <w:numPr>
          <w:ilvl w:val="1"/>
          <w:numId w:val="74"/>
        </w:numPr>
        <w:rPr>
          <w:sz w:val="22"/>
          <w:szCs w:val="22"/>
        </w:rPr>
      </w:pPr>
      <w:r w:rsidRPr="00956486">
        <w:rPr>
          <w:sz w:val="22"/>
          <w:szCs w:val="22"/>
        </w:rPr>
        <w:t>Food and beverage packaging growth</w:t>
      </w:r>
    </w:p>
    <w:p w14:paraId="0C5DA447" w14:textId="77777777" w:rsidR="00526EC4" w:rsidRPr="00956486" w:rsidRDefault="00526EC4" w:rsidP="00127934">
      <w:pPr>
        <w:pStyle w:val="NormalWeb"/>
        <w:numPr>
          <w:ilvl w:val="1"/>
          <w:numId w:val="74"/>
        </w:numPr>
        <w:rPr>
          <w:sz w:val="22"/>
          <w:szCs w:val="22"/>
        </w:rPr>
      </w:pPr>
      <w:r w:rsidRPr="00956486">
        <w:rPr>
          <w:sz w:val="22"/>
          <w:szCs w:val="22"/>
        </w:rPr>
        <w:t>Increased service-level performance from regional hubs</w:t>
      </w:r>
    </w:p>
    <w:p w14:paraId="7F73E8DE" w14:textId="77777777" w:rsidR="00526EC4" w:rsidRPr="00956486" w:rsidRDefault="00526EC4" w:rsidP="00127934">
      <w:pPr>
        <w:pStyle w:val="NormalWeb"/>
        <w:numPr>
          <w:ilvl w:val="0"/>
          <w:numId w:val="74"/>
        </w:numPr>
        <w:rPr>
          <w:sz w:val="22"/>
          <w:szCs w:val="22"/>
        </w:rPr>
      </w:pPr>
      <w:r w:rsidRPr="00956486">
        <w:rPr>
          <w:sz w:val="22"/>
          <w:szCs w:val="22"/>
        </w:rPr>
        <w:t xml:space="preserve">Box plant operating </w:t>
      </w:r>
      <w:proofErr w:type="gramStart"/>
      <w:r w:rsidRPr="00956486">
        <w:rPr>
          <w:sz w:val="22"/>
          <w:szCs w:val="22"/>
        </w:rPr>
        <w:t>cost</w:t>
      </w:r>
      <w:proofErr w:type="gramEnd"/>
      <w:r w:rsidRPr="00956486">
        <w:rPr>
          <w:sz w:val="22"/>
          <w:szCs w:val="22"/>
        </w:rPr>
        <w:t xml:space="preserve"> per ton </w:t>
      </w:r>
      <w:proofErr w:type="gramStart"/>
      <w:r w:rsidRPr="00956486">
        <w:rPr>
          <w:sz w:val="22"/>
          <w:szCs w:val="22"/>
        </w:rPr>
        <w:t>declined</w:t>
      </w:r>
      <w:proofErr w:type="gramEnd"/>
      <w:r w:rsidRPr="00956486">
        <w:rPr>
          <w:sz w:val="22"/>
          <w:szCs w:val="22"/>
        </w:rPr>
        <w:t xml:space="preserve"> 4% YoY, with reductions in waste, downtime, and changeover time.</w:t>
      </w:r>
    </w:p>
    <w:p w14:paraId="1CB98BE1" w14:textId="77777777" w:rsidR="00526EC4" w:rsidRPr="00956486" w:rsidRDefault="00526EC4" w:rsidP="00127934">
      <w:pPr>
        <w:pStyle w:val="NormalWeb"/>
        <w:numPr>
          <w:ilvl w:val="0"/>
          <w:numId w:val="74"/>
        </w:numPr>
        <w:rPr>
          <w:sz w:val="22"/>
          <w:szCs w:val="22"/>
        </w:rPr>
      </w:pPr>
      <w:r w:rsidRPr="00956486">
        <w:rPr>
          <w:rStyle w:val="Strong"/>
          <w:rFonts w:eastAsiaTheme="majorEastAsia"/>
          <w:sz w:val="22"/>
          <w:szCs w:val="22"/>
        </w:rPr>
        <w:t>Jackson, Alabama paper mill</w:t>
      </w:r>
      <w:r w:rsidRPr="00956486">
        <w:rPr>
          <w:sz w:val="22"/>
          <w:szCs w:val="22"/>
        </w:rPr>
        <w:t>, which produces uncoated freesheet, benefited from improved productivity and reduced input costs, despite flat volume trends.</w:t>
      </w:r>
    </w:p>
    <w:p w14:paraId="1537FAB4" w14:textId="77777777" w:rsidR="00526EC4" w:rsidRPr="00956486" w:rsidRDefault="00526EC4" w:rsidP="00526EC4">
      <w:pPr>
        <w:pStyle w:val="NormalWeb"/>
        <w:rPr>
          <w:sz w:val="22"/>
          <w:szCs w:val="22"/>
        </w:rPr>
      </w:pPr>
      <w:r w:rsidRPr="00956486">
        <w:rPr>
          <w:rStyle w:val="Strong"/>
          <w:rFonts w:eastAsiaTheme="majorEastAsia"/>
          <w:sz w:val="22"/>
          <w:szCs w:val="22"/>
        </w:rPr>
        <w:t>Business Expansions &amp; Capital Expenditure Plans</w:t>
      </w:r>
    </w:p>
    <w:p w14:paraId="1F997534" w14:textId="77777777" w:rsidR="00526EC4" w:rsidRPr="00956486" w:rsidRDefault="00526EC4" w:rsidP="00127934">
      <w:pPr>
        <w:pStyle w:val="NormalWeb"/>
        <w:numPr>
          <w:ilvl w:val="0"/>
          <w:numId w:val="75"/>
        </w:numPr>
        <w:rPr>
          <w:sz w:val="22"/>
          <w:szCs w:val="22"/>
        </w:rPr>
      </w:pPr>
      <w:r w:rsidRPr="00956486">
        <w:rPr>
          <w:sz w:val="22"/>
          <w:szCs w:val="22"/>
        </w:rPr>
        <w:t xml:space="preserve">Full-year </w:t>
      </w:r>
      <w:proofErr w:type="spellStart"/>
      <w:r w:rsidRPr="00956486">
        <w:rPr>
          <w:sz w:val="22"/>
          <w:szCs w:val="22"/>
        </w:rPr>
        <w:t>CapEx</w:t>
      </w:r>
      <w:proofErr w:type="spellEnd"/>
      <w:r w:rsidRPr="00956486">
        <w:rPr>
          <w:sz w:val="22"/>
          <w:szCs w:val="22"/>
        </w:rPr>
        <w:t xml:space="preserve"> guidance of </w:t>
      </w:r>
      <w:r w:rsidRPr="00956486">
        <w:rPr>
          <w:rStyle w:val="Strong"/>
          <w:rFonts w:eastAsiaTheme="majorEastAsia"/>
          <w:sz w:val="22"/>
          <w:szCs w:val="22"/>
        </w:rPr>
        <w:t>$575–600 million</w:t>
      </w:r>
      <w:r w:rsidRPr="00956486">
        <w:rPr>
          <w:sz w:val="22"/>
          <w:szCs w:val="22"/>
        </w:rPr>
        <w:t>, primarily directed toward:</w:t>
      </w:r>
    </w:p>
    <w:p w14:paraId="5D320D00" w14:textId="77777777" w:rsidR="00526EC4" w:rsidRPr="00956486" w:rsidRDefault="00526EC4" w:rsidP="00127934">
      <w:pPr>
        <w:pStyle w:val="NormalWeb"/>
        <w:numPr>
          <w:ilvl w:val="1"/>
          <w:numId w:val="75"/>
        </w:numPr>
        <w:rPr>
          <w:sz w:val="22"/>
          <w:szCs w:val="22"/>
        </w:rPr>
      </w:pPr>
      <w:r w:rsidRPr="00956486">
        <w:rPr>
          <w:sz w:val="22"/>
          <w:szCs w:val="22"/>
        </w:rPr>
        <w:t>Containerboard mill upgrades (energy, fiber handling, automation)</w:t>
      </w:r>
    </w:p>
    <w:p w14:paraId="6429B348" w14:textId="77777777" w:rsidR="00526EC4" w:rsidRPr="00956486" w:rsidRDefault="00526EC4" w:rsidP="00127934">
      <w:pPr>
        <w:pStyle w:val="NormalWeb"/>
        <w:numPr>
          <w:ilvl w:val="1"/>
          <w:numId w:val="75"/>
        </w:numPr>
        <w:rPr>
          <w:sz w:val="22"/>
          <w:szCs w:val="22"/>
        </w:rPr>
      </w:pPr>
      <w:r w:rsidRPr="00956486">
        <w:rPr>
          <w:sz w:val="22"/>
          <w:szCs w:val="22"/>
        </w:rPr>
        <w:t>Corrugated converting plant modernization (AI-enabled scheduling, robotics)</w:t>
      </w:r>
    </w:p>
    <w:p w14:paraId="2ECFBBC8" w14:textId="77777777" w:rsidR="00526EC4" w:rsidRPr="00956486" w:rsidRDefault="00526EC4" w:rsidP="00127934">
      <w:pPr>
        <w:pStyle w:val="NormalWeb"/>
        <w:numPr>
          <w:ilvl w:val="1"/>
          <w:numId w:val="75"/>
        </w:numPr>
        <w:rPr>
          <w:sz w:val="22"/>
          <w:szCs w:val="22"/>
        </w:rPr>
      </w:pPr>
      <w:r w:rsidRPr="00956486">
        <w:rPr>
          <w:sz w:val="22"/>
          <w:szCs w:val="22"/>
        </w:rPr>
        <w:t>Emissions reduction initiatives at select facilities</w:t>
      </w:r>
    </w:p>
    <w:p w14:paraId="7263AD56" w14:textId="77777777" w:rsidR="00526EC4" w:rsidRPr="00956486" w:rsidRDefault="00526EC4" w:rsidP="00127934">
      <w:pPr>
        <w:pStyle w:val="NormalWeb"/>
        <w:numPr>
          <w:ilvl w:val="0"/>
          <w:numId w:val="75"/>
        </w:numPr>
        <w:rPr>
          <w:sz w:val="22"/>
          <w:szCs w:val="22"/>
        </w:rPr>
      </w:pPr>
      <w:r w:rsidRPr="00956486">
        <w:rPr>
          <w:rStyle w:val="Strong"/>
          <w:rFonts w:eastAsiaTheme="majorEastAsia"/>
          <w:sz w:val="22"/>
          <w:szCs w:val="22"/>
        </w:rPr>
        <w:t>Jackson, AL paper mill</w:t>
      </w:r>
      <w:r w:rsidRPr="00956486">
        <w:rPr>
          <w:sz w:val="22"/>
          <w:szCs w:val="22"/>
        </w:rPr>
        <w:t xml:space="preserve"> included in multi-mill asset improvement program for 2025:</w:t>
      </w:r>
    </w:p>
    <w:p w14:paraId="74FDB998" w14:textId="77777777" w:rsidR="00526EC4" w:rsidRPr="00956486" w:rsidRDefault="00526EC4" w:rsidP="00127934">
      <w:pPr>
        <w:pStyle w:val="NormalWeb"/>
        <w:numPr>
          <w:ilvl w:val="1"/>
          <w:numId w:val="75"/>
        </w:numPr>
        <w:rPr>
          <w:sz w:val="22"/>
          <w:szCs w:val="22"/>
        </w:rPr>
      </w:pPr>
      <w:r w:rsidRPr="00956486">
        <w:rPr>
          <w:sz w:val="22"/>
          <w:szCs w:val="22"/>
        </w:rPr>
        <w:t>Dryer section upgrades</w:t>
      </w:r>
    </w:p>
    <w:p w14:paraId="44C5F813" w14:textId="77777777" w:rsidR="00526EC4" w:rsidRPr="00956486" w:rsidRDefault="00526EC4" w:rsidP="00127934">
      <w:pPr>
        <w:pStyle w:val="NormalWeb"/>
        <w:numPr>
          <w:ilvl w:val="1"/>
          <w:numId w:val="75"/>
        </w:numPr>
        <w:rPr>
          <w:sz w:val="22"/>
          <w:szCs w:val="22"/>
        </w:rPr>
      </w:pPr>
      <w:r w:rsidRPr="00956486">
        <w:rPr>
          <w:sz w:val="22"/>
          <w:szCs w:val="22"/>
        </w:rPr>
        <w:t>Chemical recovery enhancements</w:t>
      </w:r>
    </w:p>
    <w:p w14:paraId="79CAD47B" w14:textId="77777777" w:rsidR="00526EC4" w:rsidRPr="00956486" w:rsidRDefault="00526EC4" w:rsidP="00127934">
      <w:pPr>
        <w:pStyle w:val="NormalWeb"/>
        <w:numPr>
          <w:ilvl w:val="1"/>
          <w:numId w:val="75"/>
        </w:numPr>
        <w:rPr>
          <w:sz w:val="22"/>
          <w:szCs w:val="22"/>
        </w:rPr>
      </w:pPr>
      <w:r w:rsidRPr="00956486">
        <w:rPr>
          <w:sz w:val="22"/>
          <w:szCs w:val="22"/>
        </w:rPr>
        <w:t>Reliability improvements tied to water usage and steam efficiency</w:t>
      </w:r>
    </w:p>
    <w:p w14:paraId="75465BE1" w14:textId="77777777" w:rsidR="00526EC4" w:rsidRPr="00956486" w:rsidRDefault="00526EC4" w:rsidP="00127934">
      <w:pPr>
        <w:pStyle w:val="NormalWeb"/>
        <w:numPr>
          <w:ilvl w:val="0"/>
          <w:numId w:val="75"/>
        </w:numPr>
        <w:rPr>
          <w:sz w:val="22"/>
          <w:szCs w:val="22"/>
        </w:rPr>
      </w:pPr>
      <w:r w:rsidRPr="00956486">
        <w:rPr>
          <w:sz w:val="22"/>
          <w:szCs w:val="22"/>
        </w:rPr>
        <w:t xml:space="preserve">Corrugated plants in </w:t>
      </w:r>
      <w:r w:rsidRPr="00956486">
        <w:rPr>
          <w:rStyle w:val="Strong"/>
          <w:rFonts w:eastAsiaTheme="majorEastAsia"/>
          <w:sz w:val="22"/>
          <w:szCs w:val="22"/>
        </w:rPr>
        <w:t>Madison and Opelika, AL</w:t>
      </w:r>
      <w:r w:rsidRPr="00956486">
        <w:rPr>
          <w:sz w:val="22"/>
          <w:szCs w:val="22"/>
        </w:rPr>
        <w:t xml:space="preserve"> are part of PCA’s Southern expansion strategy focused on:</w:t>
      </w:r>
    </w:p>
    <w:p w14:paraId="273FC7D7" w14:textId="77777777" w:rsidR="00526EC4" w:rsidRPr="00956486" w:rsidRDefault="00526EC4" w:rsidP="00127934">
      <w:pPr>
        <w:pStyle w:val="NormalWeb"/>
        <w:numPr>
          <w:ilvl w:val="1"/>
          <w:numId w:val="75"/>
        </w:numPr>
        <w:rPr>
          <w:sz w:val="22"/>
          <w:szCs w:val="22"/>
        </w:rPr>
      </w:pPr>
      <w:r w:rsidRPr="00956486">
        <w:rPr>
          <w:sz w:val="22"/>
          <w:szCs w:val="22"/>
        </w:rPr>
        <w:t>Lead time reduction</w:t>
      </w:r>
    </w:p>
    <w:p w14:paraId="54E25BBF" w14:textId="77777777" w:rsidR="00526EC4" w:rsidRPr="00956486" w:rsidRDefault="00526EC4" w:rsidP="00127934">
      <w:pPr>
        <w:pStyle w:val="NormalWeb"/>
        <w:numPr>
          <w:ilvl w:val="1"/>
          <w:numId w:val="75"/>
        </w:numPr>
        <w:rPr>
          <w:sz w:val="22"/>
          <w:szCs w:val="22"/>
        </w:rPr>
      </w:pPr>
      <w:r w:rsidRPr="00956486">
        <w:rPr>
          <w:sz w:val="22"/>
          <w:szCs w:val="22"/>
        </w:rPr>
        <w:t>Logistics cost containment</w:t>
      </w:r>
    </w:p>
    <w:p w14:paraId="0AE683A9" w14:textId="77777777" w:rsidR="00526EC4" w:rsidRPr="00956486" w:rsidRDefault="00526EC4" w:rsidP="00127934">
      <w:pPr>
        <w:pStyle w:val="NormalWeb"/>
        <w:numPr>
          <w:ilvl w:val="1"/>
          <w:numId w:val="75"/>
        </w:numPr>
        <w:rPr>
          <w:sz w:val="22"/>
          <w:szCs w:val="22"/>
        </w:rPr>
      </w:pPr>
      <w:r w:rsidRPr="00956486">
        <w:rPr>
          <w:sz w:val="22"/>
          <w:szCs w:val="22"/>
        </w:rPr>
        <w:t>Service-sensitive customers (R&amp;R, grocery, regional food producers)</w:t>
      </w:r>
    </w:p>
    <w:p w14:paraId="485592A1" w14:textId="3A9BDB18" w:rsidR="00526EC4" w:rsidRPr="00956486" w:rsidRDefault="00526EC4" w:rsidP="00127934">
      <w:pPr>
        <w:pStyle w:val="NormalWeb"/>
        <w:numPr>
          <w:ilvl w:val="0"/>
          <w:numId w:val="75"/>
        </w:numPr>
        <w:rPr>
          <w:sz w:val="22"/>
          <w:szCs w:val="22"/>
        </w:rPr>
      </w:pPr>
      <w:r w:rsidRPr="00956486">
        <w:rPr>
          <w:sz w:val="22"/>
          <w:szCs w:val="22"/>
        </w:rPr>
        <w:t xml:space="preserve">PCA has no major greenfield plans but is </w:t>
      </w:r>
      <w:commentRangeStart w:id="103"/>
      <w:commentRangeStart w:id="104"/>
      <w:r w:rsidRPr="00956486">
        <w:rPr>
          <w:sz w:val="22"/>
          <w:szCs w:val="22"/>
        </w:rPr>
        <w:t xml:space="preserve">executing </w:t>
      </w:r>
      <w:commentRangeEnd w:id="103"/>
      <w:r>
        <w:rPr>
          <w:rStyle w:val="CommentReference"/>
        </w:rPr>
        <w:commentReference w:id="103"/>
      </w:r>
      <w:commentRangeEnd w:id="104"/>
      <w:r>
        <w:rPr>
          <w:rStyle w:val="CommentReference"/>
        </w:rPr>
        <w:commentReference w:id="104"/>
      </w:r>
      <w:r w:rsidRPr="00956486">
        <w:rPr>
          <w:sz w:val="22"/>
          <w:szCs w:val="22"/>
        </w:rPr>
        <w:t>automation projects across its Southern footprint.</w:t>
      </w:r>
    </w:p>
    <w:p w14:paraId="15E71916" w14:textId="77777777" w:rsidR="00526EC4" w:rsidRPr="00956486" w:rsidRDefault="00526EC4" w:rsidP="00526EC4">
      <w:pPr>
        <w:pStyle w:val="NormalWeb"/>
        <w:rPr>
          <w:sz w:val="22"/>
          <w:szCs w:val="22"/>
        </w:rPr>
      </w:pPr>
      <w:r w:rsidRPr="00956486">
        <w:rPr>
          <w:rStyle w:val="Strong"/>
          <w:rFonts w:eastAsiaTheme="majorEastAsia"/>
          <w:sz w:val="22"/>
          <w:szCs w:val="22"/>
        </w:rPr>
        <w:t>Segment Performance &amp; Outlook</w:t>
      </w:r>
    </w:p>
    <w:p w14:paraId="5DBA185D" w14:textId="77777777" w:rsidR="00526EC4" w:rsidRPr="00956486" w:rsidRDefault="00526EC4" w:rsidP="00127934">
      <w:pPr>
        <w:pStyle w:val="NormalWeb"/>
        <w:numPr>
          <w:ilvl w:val="0"/>
          <w:numId w:val="76"/>
        </w:numPr>
        <w:rPr>
          <w:sz w:val="22"/>
          <w:szCs w:val="22"/>
        </w:rPr>
      </w:pPr>
      <w:r w:rsidRPr="00956486">
        <w:rPr>
          <w:rStyle w:val="Strong"/>
          <w:rFonts w:eastAsiaTheme="majorEastAsia"/>
          <w:sz w:val="22"/>
          <w:szCs w:val="22"/>
        </w:rPr>
        <w:lastRenderedPageBreak/>
        <w:t>Packaging Segment</w:t>
      </w:r>
      <w:r w:rsidRPr="00956486">
        <w:rPr>
          <w:sz w:val="22"/>
          <w:szCs w:val="22"/>
        </w:rPr>
        <w:t>:</w:t>
      </w:r>
    </w:p>
    <w:p w14:paraId="47458A8A" w14:textId="77777777" w:rsidR="00526EC4" w:rsidRPr="00956486" w:rsidRDefault="00526EC4" w:rsidP="00127934">
      <w:pPr>
        <w:pStyle w:val="NormalWeb"/>
        <w:numPr>
          <w:ilvl w:val="1"/>
          <w:numId w:val="76"/>
        </w:numPr>
        <w:rPr>
          <w:sz w:val="22"/>
          <w:szCs w:val="22"/>
        </w:rPr>
      </w:pPr>
      <w:r w:rsidRPr="00956486">
        <w:rPr>
          <w:sz w:val="22"/>
          <w:szCs w:val="22"/>
        </w:rPr>
        <w:t>Revenue: $1.89 billion (+6.1% YoY)</w:t>
      </w:r>
    </w:p>
    <w:p w14:paraId="51E0B968" w14:textId="77777777" w:rsidR="00526EC4" w:rsidRPr="00956486" w:rsidRDefault="00526EC4" w:rsidP="00127934">
      <w:pPr>
        <w:pStyle w:val="NormalWeb"/>
        <w:numPr>
          <w:ilvl w:val="1"/>
          <w:numId w:val="76"/>
        </w:numPr>
        <w:rPr>
          <w:sz w:val="22"/>
          <w:szCs w:val="22"/>
        </w:rPr>
      </w:pPr>
      <w:r w:rsidRPr="00956486">
        <w:rPr>
          <w:sz w:val="22"/>
          <w:szCs w:val="22"/>
        </w:rPr>
        <w:t>EBITDA: $486 million (+26% YoY)</w:t>
      </w:r>
    </w:p>
    <w:p w14:paraId="3535AC7D" w14:textId="77777777" w:rsidR="00526EC4" w:rsidRPr="00956486" w:rsidRDefault="00526EC4" w:rsidP="00127934">
      <w:pPr>
        <w:pStyle w:val="NormalWeb"/>
        <w:numPr>
          <w:ilvl w:val="1"/>
          <w:numId w:val="76"/>
        </w:numPr>
        <w:rPr>
          <w:sz w:val="22"/>
          <w:szCs w:val="22"/>
        </w:rPr>
      </w:pPr>
      <w:r w:rsidRPr="00956486">
        <w:rPr>
          <w:sz w:val="22"/>
          <w:szCs w:val="22"/>
        </w:rPr>
        <w:t>Higher volumes, lower containerboard input costs, and improved pricing realization supported margin expansion</w:t>
      </w:r>
    </w:p>
    <w:p w14:paraId="67270BDA" w14:textId="77777777" w:rsidR="00526EC4" w:rsidRPr="00956486" w:rsidRDefault="00526EC4" w:rsidP="00127934">
      <w:pPr>
        <w:pStyle w:val="NormalWeb"/>
        <w:numPr>
          <w:ilvl w:val="1"/>
          <w:numId w:val="76"/>
        </w:numPr>
        <w:rPr>
          <w:sz w:val="22"/>
          <w:szCs w:val="22"/>
        </w:rPr>
      </w:pPr>
      <w:r w:rsidRPr="00956486">
        <w:rPr>
          <w:rStyle w:val="Strong"/>
          <w:rFonts w:eastAsiaTheme="majorEastAsia"/>
          <w:sz w:val="22"/>
          <w:szCs w:val="22"/>
        </w:rPr>
        <w:t>Madison and Opelika plants</w:t>
      </w:r>
      <w:r w:rsidRPr="00956486">
        <w:rPr>
          <w:sz w:val="22"/>
          <w:szCs w:val="22"/>
        </w:rPr>
        <w:t xml:space="preserve"> contributed to strong regional performance in the Southeast</w:t>
      </w:r>
    </w:p>
    <w:p w14:paraId="5FFE9F3B" w14:textId="77777777" w:rsidR="00526EC4" w:rsidRPr="00956486" w:rsidRDefault="00526EC4" w:rsidP="00127934">
      <w:pPr>
        <w:pStyle w:val="NormalWeb"/>
        <w:numPr>
          <w:ilvl w:val="1"/>
          <w:numId w:val="76"/>
        </w:numPr>
        <w:rPr>
          <w:sz w:val="22"/>
          <w:szCs w:val="22"/>
        </w:rPr>
      </w:pPr>
      <w:r w:rsidRPr="00956486">
        <w:rPr>
          <w:sz w:val="22"/>
          <w:szCs w:val="22"/>
        </w:rPr>
        <w:t>Corrugated shipments expected to increase further in Q3; backlog remains strong</w:t>
      </w:r>
    </w:p>
    <w:p w14:paraId="462F8FFF" w14:textId="77777777" w:rsidR="00526EC4" w:rsidRPr="00956486" w:rsidRDefault="00526EC4" w:rsidP="00127934">
      <w:pPr>
        <w:pStyle w:val="NormalWeb"/>
        <w:numPr>
          <w:ilvl w:val="0"/>
          <w:numId w:val="76"/>
        </w:numPr>
        <w:rPr>
          <w:sz w:val="22"/>
          <w:szCs w:val="22"/>
        </w:rPr>
      </w:pPr>
      <w:r w:rsidRPr="00956486">
        <w:rPr>
          <w:rStyle w:val="Strong"/>
          <w:rFonts w:eastAsiaTheme="majorEastAsia"/>
          <w:sz w:val="22"/>
          <w:szCs w:val="22"/>
        </w:rPr>
        <w:t>Paper Segment</w:t>
      </w:r>
      <w:r w:rsidRPr="00956486">
        <w:rPr>
          <w:sz w:val="22"/>
          <w:szCs w:val="22"/>
        </w:rPr>
        <w:t>:</w:t>
      </w:r>
    </w:p>
    <w:p w14:paraId="29B40341" w14:textId="77777777" w:rsidR="00526EC4" w:rsidRPr="00956486" w:rsidRDefault="00526EC4" w:rsidP="00127934">
      <w:pPr>
        <w:pStyle w:val="NormalWeb"/>
        <w:numPr>
          <w:ilvl w:val="1"/>
          <w:numId w:val="76"/>
        </w:numPr>
        <w:rPr>
          <w:sz w:val="22"/>
          <w:szCs w:val="22"/>
        </w:rPr>
      </w:pPr>
      <w:r w:rsidRPr="00956486">
        <w:rPr>
          <w:sz w:val="22"/>
          <w:szCs w:val="22"/>
        </w:rPr>
        <w:t>Revenue: $307 million (flat YoY)</w:t>
      </w:r>
    </w:p>
    <w:p w14:paraId="79ED9160" w14:textId="77777777" w:rsidR="00526EC4" w:rsidRPr="00956486" w:rsidRDefault="00526EC4" w:rsidP="00127934">
      <w:pPr>
        <w:pStyle w:val="NormalWeb"/>
        <w:numPr>
          <w:ilvl w:val="1"/>
          <w:numId w:val="76"/>
        </w:numPr>
        <w:rPr>
          <w:sz w:val="22"/>
          <w:szCs w:val="22"/>
        </w:rPr>
      </w:pPr>
      <w:r w:rsidRPr="00956486">
        <w:rPr>
          <w:sz w:val="22"/>
          <w:szCs w:val="22"/>
        </w:rPr>
        <w:t>EBITDA: $41 million (+9% YoY)</w:t>
      </w:r>
    </w:p>
    <w:p w14:paraId="29EF1BFE" w14:textId="77777777" w:rsidR="00526EC4" w:rsidRPr="00956486" w:rsidRDefault="00526EC4" w:rsidP="00127934">
      <w:pPr>
        <w:pStyle w:val="NormalWeb"/>
        <w:numPr>
          <w:ilvl w:val="1"/>
          <w:numId w:val="76"/>
        </w:numPr>
        <w:rPr>
          <w:sz w:val="22"/>
          <w:szCs w:val="22"/>
        </w:rPr>
      </w:pPr>
      <w:r w:rsidRPr="00956486">
        <w:rPr>
          <w:sz w:val="22"/>
          <w:szCs w:val="22"/>
        </w:rPr>
        <w:t>Volume relatively stable; mix improvement supported by premium office and envelope grades</w:t>
      </w:r>
    </w:p>
    <w:p w14:paraId="5511AC86" w14:textId="77777777" w:rsidR="00526EC4" w:rsidRPr="00956486" w:rsidRDefault="00526EC4" w:rsidP="00127934">
      <w:pPr>
        <w:pStyle w:val="NormalWeb"/>
        <w:numPr>
          <w:ilvl w:val="1"/>
          <w:numId w:val="76"/>
        </w:numPr>
        <w:rPr>
          <w:sz w:val="22"/>
          <w:szCs w:val="22"/>
        </w:rPr>
      </w:pPr>
      <w:r w:rsidRPr="00956486">
        <w:rPr>
          <w:rStyle w:val="Strong"/>
          <w:rFonts w:eastAsiaTheme="majorEastAsia"/>
          <w:sz w:val="22"/>
          <w:szCs w:val="22"/>
        </w:rPr>
        <w:t>Jackson, AL mill</w:t>
      </w:r>
      <w:r w:rsidRPr="00956486">
        <w:rPr>
          <w:sz w:val="22"/>
          <w:szCs w:val="22"/>
        </w:rPr>
        <w:t xml:space="preserve"> ran well; cost improvements from reliability projects helped offset modest price erosion</w:t>
      </w:r>
    </w:p>
    <w:p w14:paraId="221474F0" w14:textId="77777777" w:rsidR="00526EC4" w:rsidRPr="00956486" w:rsidRDefault="00526EC4" w:rsidP="00127934">
      <w:pPr>
        <w:pStyle w:val="NormalWeb"/>
        <w:numPr>
          <w:ilvl w:val="1"/>
          <w:numId w:val="76"/>
        </w:numPr>
        <w:rPr>
          <w:sz w:val="22"/>
          <w:szCs w:val="22"/>
        </w:rPr>
      </w:pPr>
      <w:r w:rsidRPr="00956486">
        <w:rPr>
          <w:sz w:val="22"/>
          <w:szCs w:val="22"/>
        </w:rPr>
        <w:t>No significant shifts in demand expected for H2, but operational improvements will support margins</w:t>
      </w:r>
    </w:p>
    <w:p w14:paraId="05D6D004" w14:textId="77777777" w:rsidR="00526EC4" w:rsidRPr="00956486" w:rsidRDefault="00526EC4" w:rsidP="00127934">
      <w:pPr>
        <w:pStyle w:val="NormalWeb"/>
        <w:numPr>
          <w:ilvl w:val="0"/>
          <w:numId w:val="76"/>
        </w:numPr>
        <w:rPr>
          <w:sz w:val="22"/>
          <w:szCs w:val="22"/>
        </w:rPr>
      </w:pPr>
      <w:r w:rsidRPr="00956486">
        <w:rPr>
          <w:rStyle w:val="Strong"/>
          <w:rFonts w:eastAsiaTheme="majorEastAsia"/>
          <w:sz w:val="22"/>
          <w:szCs w:val="22"/>
        </w:rPr>
        <w:t>Outlook</w:t>
      </w:r>
      <w:r w:rsidRPr="00956486">
        <w:rPr>
          <w:sz w:val="22"/>
          <w:szCs w:val="22"/>
        </w:rPr>
        <w:t>:</w:t>
      </w:r>
    </w:p>
    <w:p w14:paraId="1CF6DF1B" w14:textId="77777777" w:rsidR="00526EC4" w:rsidRPr="00956486" w:rsidRDefault="00526EC4" w:rsidP="00127934">
      <w:pPr>
        <w:pStyle w:val="NormalWeb"/>
        <w:numPr>
          <w:ilvl w:val="1"/>
          <w:numId w:val="76"/>
        </w:numPr>
        <w:rPr>
          <w:sz w:val="22"/>
          <w:szCs w:val="22"/>
        </w:rPr>
      </w:pPr>
      <w:r w:rsidRPr="00956486">
        <w:rPr>
          <w:sz w:val="22"/>
          <w:szCs w:val="22"/>
        </w:rPr>
        <w:t xml:space="preserve">Q3 earnings expected to be </w:t>
      </w:r>
      <w:r w:rsidRPr="00956486">
        <w:rPr>
          <w:rStyle w:val="Strong"/>
          <w:rFonts w:eastAsiaTheme="majorEastAsia"/>
          <w:sz w:val="22"/>
          <w:szCs w:val="22"/>
        </w:rPr>
        <w:t>higher than Q2</w:t>
      </w:r>
      <w:r w:rsidRPr="00956486">
        <w:rPr>
          <w:sz w:val="22"/>
          <w:szCs w:val="22"/>
        </w:rPr>
        <w:t>, driven by:</w:t>
      </w:r>
    </w:p>
    <w:p w14:paraId="45D9C462" w14:textId="77777777" w:rsidR="00526EC4" w:rsidRPr="00956486" w:rsidRDefault="00526EC4" w:rsidP="00127934">
      <w:pPr>
        <w:pStyle w:val="NormalWeb"/>
        <w:numPr>
          <w:ilvl w:val="2"/>
          <w:numId w:val="76"/>
        </w:numPr>
        <w:rPr>
          <w:sz w:val="22"/>
          <w:szCs w:val="22"/>
        </w:rPr>
      </w:pPr>
      <w:r w:rsidRPr="00956486">
        <w:rPr>
          <w:sz w:val="22"/>
          <w:szCs w:val="22"/>
        </w:rPr>
        <w:t>Further corrugated volume growth</w:t>
      </w:r>
    </w:p>
    <w:p w14:paraId="4E4FB892" w14:textId="77777777" w:rsidR="00526EC4" w:rsidRPr="00956486" w:rsidRDefault="00526EC4" w:rsidP="00127934">
      <w:pPr>
        <w:pStyle w:val="NormalWeb"/>
        <w:numPr>
          <w:ilvl w:val="2"/>
          <w:numId w:val="76"/>
        </w:numPr>
        <w:rPr>
          <w:sz w:val="22"/>
          <w:szCs w:val="22"/>
        </w:rPr>
      </w:pPr>
      <w:r w:rsidRPr="00956486">
        <w:rPr>
          <w:sz w:val="22"/>
          <w:szCs w:val="22"/>
        </w:rPr>
        <w:t>Better seasonal mix</w:t>
      </w:r>
    </w:p>
    <w:p w14:paraId="63689221" w14:textId="77777777" w:rsidR="00526EC4" w:rsidRPr="00956486" w:rsidRDefault="00526EC4" w:rsidP="00127934">
      <w:pPr>
        <w:pStyle w:val="NormalWeb"/>
        <w:numPr>
          <w:ilvl w:val="2"/>
          <w:numId w:val="76"/>
        </w:numPr>
        <w:rPr>
          <w:sz w:val="22"/>
          <w:szCs w:val="22"/>
        </w:rPr>
      </w:pPr>
      <w:r w:rsidRPr="00956486">
        <w:rPr>
          <w:sz w:val="22"/>
          <w:szCs w:val="22"/>
        </w:rPr>
        <w:t>Slight improvement in average selling prices</w:t>
      </w:r>
    </w:p>
    <w:p w14:paraId="3DBAD4B4" w14:textId="77777777" w:rsidR="00526EC4" w:rsidRPr="00956486" w:rsidRDefault="00526EC4" w:rsidP="00127934">
      <w:pPr>
        <w:pStyle w:val="NormalWeb"/>
        <w:numPr>
          <w:ilvl w:val="1"/>
          <w:numId w:val="76"/>
        </w:numPr>
        <w:rPr>
          <w:sz w:val="22"/>
          <w:szCs w:val="22"/>
        </w:rPr>
      </w:pPr>
      <w:r w:rsidRPr="00956486">
        <w:rPr>
          <w:sz w:val="22"/>
          <w:szCs w:val="22"/>
        </w:rPr>
        <w:t xml:space="preserve">Input </w:t>
      </w:r>
      <w:proofErr w:type="gramStart"/>
      <w:r w:rsidRPr="00956486">
        <w:rPr>
          <w:sz w:val="22"/>
          <w:szCs w:val="22"/>
        </w:rPr>
        <w:t>cost environment</w:t>
      </w:r>
      <w:proofErr w:type="gramEnd"/>
      <w:r w:rsidRPr="00956486">
        <w:rPr>
          <w:sz w:val="22"/>
          <w:szCs w:val="22"/>
        </w:rPr>
        <w:t xml:space="preserve"> remains favorable — OCC, logistics, energy all trending lower</w:t>
      </w:r>
    </w:p>
    <w:p w14:paraId="437ED9A1" w14:textId="77777777" w:rsidR="00526EC4" w:rsidRPr="00956486" w:rsidRDefault="00526EC4" w:rsidP="00127934">
      <w:pPr>
        <w:pStyle w:val="NormalWeb"/>
        <w:numPr>
          <w:ilvl w:val="1"/>
          <w:numId w:val="76"/>
        </w:numPr>
        <w:rPr>
          <w:sz w:val="22"/>
          <w:szCs w:val="22"/>
        </w:rPr>
      </w:pPr>
      <w:r w:rsidRPr="00956486">
        <w:rPr>
          <w:sz w:val="22"/>
          <w:szCs w:val="22"/>
        </w:rPr>
        <w:t>PCA reiterated full-year guidance of:</w:t>
      </w:r>
    </w:p>
    <w:p w14:paraId="746FBFF7" w14:textId="77777777" w:rsidR="00526EC4" w:rsidRPr="00956486" w:rsidRDefault="00526EC4" w:rsidP="00127934">
      <w:pPr>
        <w:pStyle w:val="NormalWeb"/>
        <w:numPr>
          <w:ilvl w:val="2"/>
          <w:numId w:val="76"/>
        </w:numPr>
        <w:rPr>
          <w:sz w:val="22"/>
          <w:szCs w:val="22"/>
        </w:rPr>
      </w:pPr>
      <w:r w:rsidRPr="00956486">
        <w:rPr>
          <w:sz w:val="22"/>
          <w:szCs w:val="22"/>
        </w:rPr>
        <w:t xml:space="preserve">EPS: </w:t>
      </w:r>
      <w:r w:rsidRPr="00956486">
        <w:rPr>
          <w:rStyle w:val="Strong"/>
          <w:rFonts w:eastAsiaTheme="majorEastAsia"/>
          <w:sz w:val="22"/>
          <w:szCs w:val="22"/>
        </w:rPr>
        <w:t>$11.00–11.50</w:t>
      </w:r>
    </w:p>
    <w:p w14:paraId="7E2455B2" w14:textId="77777777" w:rsidR="00526EC4" w:rsidRPr="00956486" w:rsidRDefault="00526EC4" w:rsidP="00127934">
      <w:pPr>
        <w:pStyle w:val="NormalWeb"/>
        <w:numPr>
          <w:ilvl w:val="2"/>
          <w:numId w:val="76"/>
        </w:numPr>
        <w:rPr>
          <w:sz w:val="22"/>
          <w:szCs w:val="22"/>
        </w:rPr>
      </w:pPr>
      <w:r w:rsidRPr="00956486">
        <w:rPr>
          <w:sz w:val="22"/>
          <w:szCs w:val="22"/>
        </w:rPr>
        <w:t xml:space="preserve">EBITDA: </w:t>
      </w:r>
      <w:r w:rsidRPr="00956486">
        <w:rPr>
          <w:rStyle w:val="Strong"/>
          <w:rFonts w:eastAsiaTheme="majorEastAsia"/>
          <w:sz w:val="22"/>
          <w:szCs w:val="22"/>
        </w:rPr>
        <w:t>$1.95–2.05 billion</w:t>
      </w:r>
    </w:p>
    <w:p w14:paraId="52F88E51" w14:textId="77777777" w:rsidR="00526EC4" w:rsidRPr="00956486" w:rsidRDefault="00526EC4" w:rsidP="00127934">
      <w:pPr>
        <w:pStyle w:val="NormalWeb"/>
        <w:numPr>
          <w:ilvl w:val="2"/>
          <w:numId w:val="76"/>
        </w:numPr>
        <w:rPr>
          <w:sz w:val="22"/>
          <w:szCs w:val="22"/>
        </w:rPr>
      </w:pPr>
      <w:r w:rsidRPr="00956486">
        <w:rPr>
          <w:sz w:val="22"/>
          <w:szCs w:val="22"/>
        </w:rPr>
        <w:t xml:space="preserve">Free cash flow: </w:t>
      </w:r>
      <w:r w:rsidRPr="00956486">
        <w:rPr>
          <w:rStyle w:val="Strong"/>
          <w:rFonts w:eastAsiaTheme="majorEastAsia"/>
          <w:sz w:val="22"/>
          <w:szCs w:val="22"/>
        </w:rPr>
        <w:t>$1.1 billion+</w:t>
      </w:r>
    </w:p>
    <w:p w14:paraId="24788E9F" w14:textId="77777777" w:rsidR="00526EC4" w:rsidRPr="00956486" w:rsidRDefault="00526EC4" w:rsidP="00127934">
      <w:pPr>
        <w:pStyle w:val="NormalWeb"/>
        <w:numPr>
          <w:ilvl w:val="1"/>
          <w:numId w:val="76"/>
        </w:numPr>
        <w:rPr>
          <w:sz w:val="22"/>
          <w:szCs w:val="22"/>
        </w:rPr>
      </w:pPr>
      <w:r w:rsidRPr="00956486">
        <w:rPr>
          <w:sz w:val="22"/>
          <w:szCs w:val="22"/>
        </w:rPr>
        <w:t xml:space="preserve">Alabama operations, particularly </w:t>
      </w:r>
      <w:r w:rsidRPr="00956486">
        <w:rPr>
          <w:rStyle w:val="Strong"/>
          <w:rFonts w:eastAsiaTheme="majorEastAsia"/>
          <w:sz w:val="22"/>
          <w:szCs w:val="22"/>
        </w:rPr>
        <w:t>Jackson (Paper)</w:t>
      </w:r>
      <w:r w:rsidRPr="00956486">
        <w:rPr>
          <w:sz w:val="22"/>
          <w:szCs w:val="22"/>
        </w:rPr>
        <w:t xml:space="preserve"> and </w:t>
      </w:r>
      <w:r w:rsidRPr="00956486">
        <w:rPr>
          <w:rStyle w:val="Strong"/>
          <w:rFonts w:eastAsiaTheme="majorEastAsia"/>
          <w:sz w:val="22"/>
          <w:szCs w:val="22"/>
        </w:rPr>
        <w:t>Madison/Opelika (Packaging)</w:t>
      </w:r>
      <w:r w:rsidRPr="00956486">
        <w:rPr>
          <w:sz w:val="22"/>
          <w:szCs w:val="22"/>
        </w:rPr>
        <w:t>, expected to continue contributing materially to earnings and customer service leadership</w:t>
      </w:r>
    </w:p>
    <w:p w14:paraId="028A2D13" w14:textId="77777777" w:rsidR="00526EC4" w:rsidRDefault="00526EC4" w:rsidP="3CA273EB">
      <w:pPr>
        <w:rPr>
          <w:rFonts w:ascii="Times New Roman" w:eastAsia="Times New Roman" w:hAnsi="Times New Roman" w:cs="Times New Roman"/>
          <w:color w:val="000000" w:themeColor="text1"/>
        </w:rPr>
      </w:pPr>
    </w:p>
    <w:p w14:paraId="3FAB655B" w14:textId="77777777" w:rsidR="00DA25FA" w:rsidRPr="00BC0D8E" w:rsidRDefault="00DA25FA" w:rsidP="3CA273EB">
      <w:pPr>
        <w:rPr>
          <w:rFonts w:ascii="Times New Roman" w:hAnsi="Times New Roman" w:cs="Times New Roman"/>
        </w:rPr>
      </w:pPr>
    </w:p>
    <w:p w14:paraId="644340D4" w14:textId="77777777" w:rsidR="00DE1918" w:rsidRPr="00BC0D8E" w:rsidRDefault="3D6DB4EA" w:rsidP="00DE1918">
      <w:pPr>
        <w:pStyle w:val="Heading2"/>
        <w:rPr>
          <w:rFonts w:cs="Times New Roman"/>
        </w:rPr>
      </w:pPr>
      <w:bookmarkStart w:id="105" w:name="_Toc147824670"/>
      <w:bookmarkStart w:id="106" w:name="_Toc212796776"/>
      <w:r w:rsidRPr="2535092B">
        <w:rPr>
          <w:rFonts w:cs="Times New Roman"/>
        </w:rPr>
        <w:t>Pilgrim’s Pride Corporation (</w:t>
      </w:r>
      <w:proofErr w:type="gramStart"/>
      <w:r w:rsidRPr="2535092B">
        <w:rPr>
          <w:rFonts w:cs="Times New Roman"/>
        </w:rPr>
        <w:t>NASDAQGS:PPC</w:t>
      </w:r>
      <w:proofErr w:type="gramEnd"/>
      <w:r w:rsidRPr="2535092B">
        <w:rPr>
          <w:rFonts w:cs="Times New Roman"/>
        </w:rPr>
        <w:t>)</w:t>
      </w:r>
      <w:bookmarkEnd w:id="105"/>
      <w:bookmarkEnd w:id="106"/>
      <w:r w:rsidRPr="2535092B">
        <w:rPr>
          <w:rFonts w:cs="Times New Roman"/>
        </w:rPr>
        <w:t xml:space="preserve"> </w:t>
      </w:r>
    </w:p>
    <w:p w14:paraId="031AE501" w14:textId="774D9034" w:rsidR="00DE1918" w:rsidRPr="00BC0D8E" w:rsidRDefault="477A7BF3" w:rsidP="00DE1918">
      <w:pPr>
        <w:pStyle w:val="Heading3"/>
        <w:rPr>
          <w:rFonts w:cs="Times New Roman"/>
        </w:rPr>
      </w:pPr>
      <w:bookmarkStart w:id="107" w:name="_Toc147824671"/>
      <w:bookmarkStart w:id="108" w:name="_Toc212796777"/>
      <w:r w:rsidRPr="2EEB26EF">
        <w:rPr>
          <w:rFonts w:cs="Times New Roman"/>
        </w:rPr>
        <w:t xml:space="preserve">Outlook: </w:t>
      </w:r>
      <w:r w:rsidR="4DF2D809" w:rsidRPr="2EEB26EF">
        <w:rPr>
          <w:rFonts w:cs="Times New Roman"/>
          <w:color w:val="00B050"/>
        </w:rPr>
        <w:t>Positive</w:t>
      </w:r>
      <w:bookmarkEnd w:id="107"/>
      <w:bookmarkEnd w:id="108"/>
    </w:p>
    <w:p w14:paraId="39CFFEA0" w14:textId="69A8E9CA" w:rsidR="00DE1918" w:rsidRPr="00BC0D8E" w:rsidRDefault="477A7BF3" w:rsidP="00DE1918">
      <w:pPr>
        <w:pStyle w:val="Heading3"/>
        <w:rPr>
          <w:rFonts w:cs="Times New Roman"/>
        </w:rPr>
      </w:pPr>
      <w:bookmarkStart w:id="109" w:name="_Toc147824672"/>
      <w:bookmarkStart w:id="110" w:name="_Toc212796778"/>
      <w:r w:rsidRPr="2EEB26EF">
        <w:rPr>
          <w:rFonts w:cs="Times New Roman"/>
        </w:rPr>
        <w:t xml:space="preserve">AL Outlook: </w:t>
      </w:r>
      <w:r w:rsidR="4651F8E3" w:rsidRPr="2EEB26EF">
        <w:rPr>
          <w:rFonts w:cs="Times New Roman"/>
          <w:color w:val="00B050"/>
        </w:rPr>
        <w:t>Positive</w:t>
      </w:r>
      <w:bookmarkEnd w:id="109"/>
      <w:bookmarkEnd w:id="110"/>
    </w:p>
    <w:p w14:paraId="7B6820DB" w14:textId="698193E8" w:rsidR="00DE1918" w:rsidRPr="00BC0D8E" w:rsidRDefault="477A7BF3" w:rsidP="2EEB26EF">
      <w:pPr>
        <w:rPr>
          <w:rFonts w:ascii="Times New Roman" w:hAnsi="Times New Roman" w:cs="Times New Roman"/>
        </w:rPr>
      </w:pPr>
      <w:r w:rsidRPr="2EEB26EF">
        <w:rPr>
          <w:rFonts w:ascii="Times New Roman" w:hAnsi="Times New Roman" w:cs="Times New Roman"/>
          <w:b/>
          <w:bCs/>
        </w:rPr>
        <w:t>Recommended Action:</w:t>
      </w:r>
      <w:r w:rsidRPr="2EEB26EF">
        <w:rPr>
          <w:rFonts w:ascii="Times New Roman" w:hAnsi="Times New Roman" w:cs="Times New Roman"/>
        </w:rPr>
        <w:t xml:space="preserve"> </w:t>
      </w:r>
      <w:r w:rsidR="00E929B0">
        <w:rPr>
          <w:rFonts w:ascii="Times New Roman" w:hAnsi="Times New Roman" w:cs="Times New Roman"/>
        </w:rPr>
        <w:t xml:space="preserve">Engage leadership </w:t>
      </w:r>
      <w:r w:rsidR="00CF5218">
        <w:rPr>
          <w:rFonts w:ascii="Times New Roman" w:hAnsi="Times New Roman" w:cs="Times New Roman"/>
        </w:rPr>
        <w:t>in assessing Alabama’s positioning for future Prepared Foods and NAE strategic investments.</w:t>
      </w:r>
    </w:p>
    <w:p w14:paraId="64C17581" w14:textId="77777777" w:rsidR="00DE1918" w:rsidRDefault="3D6DB4EA" w:rsidP="00DE1918">
      <w:pPr>
        <w:rPr>
          <w:rFonts w:ascii="Times New Roman" w:eastAsia="Times New Roman" w:hAnsi="Times New Roman" w:cs="Times New Roman"/>
          <w:color w:val="000000" w:themeColor="text1"/>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Facilities in Russellville, Guntersville, and Enterprise, Alabama, for chicken production.</w:t>
      </w:r>
    </w:p>
    <w:p w14:paraId="2EE61526" w14:textId="77777777" w:rsidR="00F13BC0" w:rsidRPr="00956486" w:rsidRDefault="00F13BC0" w:rsidP="00F13BC0">
      <w:pPr>
        <w:pStyle w:val="NormalWeb"/>
        <w:rPr>
          <w:sz w:val="22"/>
          <w:szCs w:val="22"/>
        </w:rPr>
      </w:pPr>
      <w:r w:rsidRPr="00956486">
        <w:rPr>
          <w:rStyle w:val="Strong"/>
          <w:rFonts w:eastAsiaTheme="majorEastAsia"/>
          <w:sz w:val="22"/>
          <w:szCs w:val="22"/>
        </w:rPr>
        <w:t>Key Takeaways</w:t>
      </w:r>
    </w:p>
    <w:p w14:paraId="4BC60BF9" w14:textId="77777777" w:rsidR="00F13BC0" w:rsidRPr="00956486" w:rsidRDefault="00F13BC0" w:rsidP="00127934">
      <w:pPr>
        <w:pStyle w:val="NormalWeb"/>
        <w:numPr>
          <w:ilvl w:val="0"/>
          <w:numId w:val="77"/>
        </w:numPr>
        <w:rPr>
          <w:sz w:val="22"/>
          <w:szCs w:val="22"/>
        </w:rPr>
      </w:pPr>
      <w:r w:rsidRPr="00956486">
        <w:rPr>
          <w:sz w:val="22"/>
          <w:szCs w:val="22"/>
        </w:rPr>
        <w:t>Pilgrim’s delivered strong results, driven by favorable U.S. chicken commodity markets, margin expansion in Europe, and robust Prepared Foods momentum.</w:t>
      </w:r>
    </w:p>
    <w:p w14:paraId="07C64001" w14:textId="77777777" w:rsidR="00F13BC0" w:rsidRPr="00956486" w:rsidRDefault="00F13BC0" w:rsidP="00127934">
      <w:pPr>
        <w:pStyle w:val="NormalWeb"/>
        <w:numPr>
          <w:ilvl w:val="0"/>
          <w:numId w:val="77"/>
        </w:numPr>
        <w:rPr>
          <w:sz w:val="22"/>
          <w:szCs w:val="22"/>
        </w:rPr>
      </w:pPr>
      <w:r w:rsidRPr="00956486">
        <w:rPr>
          <w:sz w:val="22"/>
          <w:szCs w:val="22"/>
        </w:rPr>
        <w:t>Net revenue rose to $4.76 billion (+4.4% YoY), and adjusted EBITDA reached $686.9 million with margins steady at 14.4%.</w:t>
      </w:r>
    </w:p>
    <w:p w14:paraId="5B921318" w14:textId="77777777" w:rsidR="00F13BC0" w:rsidRPr="00956486" w:rsidRDefault="00F13BC0" w:rsidP="00127934">
      <w:pPr>
        <w:pStyle w:val="NormalWeb"/>
        <w:numPr>
          <w:ilvl w:val="0"/>
          <w:numId w:val="77"/>
        </w:numPr>
        <w:rPr>
          <w:sz w:val="22"/>
          <w:szCs w:val="22"/>
        </w:rPr>
      </w:pPr>
      <w:r w:rsidRPr="00956486">
        <w:rPr>
          <w:sz w:val="22"/>
          <w:szCs w:val="22"/>
        </w:rPr>
        <w:lastRenderedPageBreak/>
        <w:t>The U.S. business saw expanded margins from continued demand in QSRs and retail, strong big bird cutout values, and improved operational efficiencies.</w:t>
      </w:r>
    </w:p>
    <w:p w14:paraId="0DF36A6C" w14:textId="77777777" w:rsidR="00F13BC0" w:rsidRPr="00956486" w:rsidRDefault="00F13BC0" w:rsidP="00127934">
      <w:pPr>
        <w:pStyle w:val="NormalWeb"/>
        <w:numPr>
          <w:ilvl w:val="0"/>
          <w:numId w:val="77"/>
        </w:numPr>
        <w:rPr>
          <w:sz w:val="22"/>
          <w:szCs w:val="22"/>
        </w:rPr>
      </w:pPr>
      <w:r w:rsidRPr="00956486">
        <w:rPr>
          <w:rStyle w:val="Strong"/>
          <w:rFonts w:eastAsiaTheme="majorEastAsia"/>
          <w:sz w:val="22"/>
          <w:szCs w:val="22"/>
        </w:rPr>
        <w:t>Prepared Foods segment</w:t>
      </w:r>
      <w:r w:rsidRPr="00956486">
        <w:rPr>
          <w:sz w:val="22"/>
          <w:szCs w:val="22"/>
        </w:rPr>
        <w:t xml:space="preserve"> saw over 20% YoY growth, with the </w:t>
      </w:r>
      <w:r w:rsidRPr="00956486">
        <w:rPr>
          <w:rStyle w:val="Strong"/>
          <w:rFonts w:eastAsiaTheme="majorEastAsia"/>
          <w:sz w:val="22"/>
          <w:szCs w:val="22"/>
        </w:rPr>
        <w:t>Just Bare</w:t>
      </w:r>
      <w:r w:rsidRPr="00956486">
        <w:rPr>
          <w:sz w:val="22"/>
          <w:szCs w:val="22"/>
        </w:rPr>
        <w:t xml:space="preserve"> and </w:t>
      </w:r>
      <w:r w:rsidRPr="00956486">
        <w:rPr>
          <w:rStyle w:val="Strong"/>
          <w:rFonts w:eastAsiaTheme="majorEastAsia"/>
          <w:sz w:val="22"/>
          <w:szCs w:val="22"/>
        </w:rPr>
        <w:t>Pilgrim’s</w:t>
      </w:r>
      <w:r w:rsidRPr="00956486">
        <w:rPr>
          <w:sz w:val="22"/>
          <w:szCs w:val="22"/>
        </w:rPr>
        <w:t xml:space="preserve"> brands showing accelerating retail momentum.</w:t>
      </w:r>
    </w:p>
    <w:p w14:paraId="4E465786" w14:textId="77777777" w:rsidR="00F13BC0" w:rsidRPr="00956486" w:rsidRDefault="00F13BC0" w:rsidP="00127934">
      <w:pPr>
        <w:pStyle w:val="NormalWeb"/>
        <w:numPr>
          <w:ilvl w:val="0"/>
          <w:numId w:val="77"/>
        </w:numPr>
        <w:rPr>
          <w:sz w:val="22"/>
          <w:szCs w:val="22"/>
        </w:rPr>
      </w:pPr>
      <w:r w:rsidRPr="00956486">
        <w:rPr>
          <w:sz w:val="22"/>
          <w:szCs w:val="22"/>
        </w:rPr>
        <w:t xml:space="preserve">The company declared a second </w:t>
      </w:r>
      <w:r w:rsidRPr="00956486">
        <w:rPr>
          <w:rStyle w:val="Strong"/>
          <w:rFonts w:eastAsiaTheme="majorEastAsia"/>
          <w:sz w:val="22"/>
          <w:szCs w:val="22"/>
        </w:rPr>
        <w:t>$500 million special dividend</w:t>
      </w:r>
      <w:r w:rsidRPr="00956486">
        <w:rPr>
          <w:sz w:val="22"/>
          <w:szCs w:val="22"/>
        </w:rPr>
        <w:t xml:space="preserve"> in 2025, reflecting excess liquidity and confidence in strategic investments.</w:t>
      </w:r>
    </w:p>
    <w:p w14:paraId="7B98828C" w14:textId="77777777" w:rsidR="00F13BC0" w:rsidRPr="00956486" w:rsidRDefault="00F13BC0" w:rsidP="00127934">
      <w:pPr>
        <w:pStyle w:val="NormalWeb"/>
        <w:numPr>
          <w:ilvl w:val="0"/>
          <w:numId w:val="77"/>
        </w:numPr>
        <w:rPr>
          <w:sz w:val="22"/>
          <w:szCs w:val="22"/>
        </w:rPr>
      </w:pPr>
      <w:r w:rsidRPr="00956486">
        <w:rPr>
          <w:sz w:val="22"/>
          <w:szCs w:val="22"/>
        </w:rPr>
        <w:t>Supply growth in the U.S. poultry industry remains constrained by hatchability challenges, even as production edges higher via increased live weights.</w:t>
      </w:r>
    </w:p>
    <w:p w14:paraId="24D53104" w14:textId="77777777" w:rsidR="00F13BC0" w:rsidRPr="00956486" w:rsidRDefault="00F13BC0" w:rsidP="00F13BC0">
      <w:pPr>
        <w:pStyle w:val="NormalWeb"/>
        <w:rPr>
          <w:sz w:val="22"/>
          <w:szCs w:val="22"/>
        </w:rPr>
      </w:pPr>
      <w:r w:rsidRPr="00956486">
        <w:rPr>
          <w:rStyle w:val="Strong"/>
          <w:rFonts w:eastAsiaTheme="majorEastAsia"/>
          <w:sz w:val="22"/>
          <w:szCs w:val="22"/>
        </w:rPr>
        <w:t>Financial Highlights</w:t>
      </w:r>
    </w:p>
    <w:p w14:paraId="21C63F8C" w14:textId="77777777" w:rsidR="00F13BC0" w:rsidRPr="00956486" w:rsidRDefault="00F13BC0" w:rsidP="00127934">
      <w:pPr>
        <w:pStyle w:val="NormalWeb"/>
        <w:numPr>
          <w:ilvl w:val="0"/>
          <w:numId w:val="78"/>
        </w:numPr>
        <w:rPr>
          <w:sz w:val="22"/>
          <w:szCs w:val="22"/>
        </w:rPr>
      </w:pPr>
      <w:r w:rsidRPr="00956486">
        <w:rPr>
          <w:rStyle w:val="Strong"/>
          <w:rFonts w:eastAsiaTheme="majorEastAsia"/>
          <w:sz w:val="22"/>
          <w:szCs w:val="22"/>
        </w:rPr>
        <w:t>Revenue</w:t>
      </w:r>
      <w:r w:rsidRPr="00956486">
        <w:rPr>
          <w:sz w:val="22"/>
          <w:szCs w:val="22"/>
        </w:rPr>
        <w:t>: $4.76 billion vs. $4.56 billion in Q2 2024 (+4.4%)</w:t>
      </w:r>
    </w:p>
    <w:p w14:paraId="4D809036" w14:textId="77777777" w:rsidR="00F13BC0" w:rsidRPr="00956486" w:rsidRDefault="00F13BC0" w:rsidP="00127934">
      <w:pPr>
        <w:pStyle w:val="NormalWeb"/>
        <w:numPr>
          <w:ilvl w:val="0"/>
          <w:numId w:val="78"/>
        </w:numPr>
        <w:rPr>
          <w:sz w:val="22"/>
          <w:szCs w:val="22"/>
        </w:rPr>
      </w:pPr>
      <w:r w:rsidRPr="00956486">
        <w:rPr>
          <w:rStyle w:val="Strong"/>
          <w:rFonts w:eastAsiaTheme="majorEastAsia"/>
          <w:sz w:val="22"/>
          <w:szCs w:val="22"/>
        </w:rPr>
        <w:t>Adjusted EBITDA</w:t>
      </w:r>
      <w:r w:rsidRPr="00956486">
        <w:rPr>
          <w:sz w:val="22"/>
          <w:szCs w:val="22"/>
        </w:rPr>
        <w:t>: $686.9 million (+4.6% YoY); margin steady at 14.4%</w:t>
      </w:r>
    </w:p>
    <w:p w14:paraId="582943DA" w14:textId="77777777" w:rsidR="00F13BC0" w:rsidRPr="00956486" w:rsidRDefault="00F13BC0" w:rsidP="00127934">
      <w:pPr>
        <w:pStyle w:val="NormalWeb"/>
        <w:numPr>
          <w:ilvl w:val="1"/>
          <w:numId w:val="78"/>
        </w:numPr>
        <w:rPr>
          <w:sz w:val="22"/>
          <w:szCs w:val="22"/>
        </w:rPr>
      </w:pPr>
      <w:r w:rsidRPr="00956486">
        <w:rPr>
          <w:sz w:val="22"/>
          <w:szCs w:val="22"/>
        </w:rPr>
        <w:t>U.S. EBITDA: $482.7M (margin: 17.1%)</w:t>
      </w:r>
    </w:p>
    <w:p w14:paraId="421CF30A" w14:textId="77777777" w:rsidR="00F13BC0" w:rsidRPr="00956486" w:rsidRDefault="00F13BC0" w:rsidP="00127934">
      <w:pPr>
        <w:pStyle w:val="NormalWeb"/>
        <w:numPr>
          <w:ilvl w:val="1"/>
          <w:numId w:val="78"/>
        </w:numPr>
        <w:rPr>
          <w:sz w:val="22"/>
          <w:szCs w:val="22"/>
        </w:rPr>
      </w:pPr>
      <w:r w:rsidRPr="00956486">
        <w:rPr>
          <w:sz w:val="22"/>
          <w:szCs w:val="22"/>
        </w:rPr>
        <w:t>Europe EBITDA: $111.8M (margin: 8.2%)</w:t>
      </w:r>
    </w:p>
    <w:p w14:paraId="6BA48F3C" w14:textId="77777777" w:rsidR="00F13BC0" w:rsidRPr="00956486" w:rsidRDefault="00F13BC0" w:rsidP="00127934">
      <w:pPr>
        <w:pStyle w:val="NormalWeb"/>
        <w:numPr>
          <w:ilvl w:val="1"/>
          <w:numId w:val="78"/>
        </w:numPr>
        <w:rPr>
          <w:sz w:val="22"/>
          <w:szCs w:val="22"/>
        </w:rPr>
      </w:pPr>
      <w:r w:rsidRPr="00956486">
        <w:rPr>
          <w:sz w:val="22"/>
          <w:szCs w:val="22"/>
        </w:rPr>
        <w:t>Mexico EBITDA: $92.3M (margin: 16.3%) despite FX headwinds</w:t>
      </w:r>
    </w:p>
    <w:p w14:paraId="2317F160" w14:textId="77777777" w:rsidR="00F13BC0" w:rsidRPr="00956486" w:rsidRDefault="00F13BC0" w:rsidP="00127934">
      <w:pPr>
        <w:pStyle w:val="NormalWeb"/>
        <w:numPr>
          <w:ilvl w:val="0"/>
          <w:numId w:val="78"/>
        </w:numPr>
        <w:rPr>
          <w:sz w:val="22"/>
          <w:szCs w:val="22"/>
        </w:rPr>
      </w:pPr>
      <w:r w:rsidRPr="00956486">
        <w:rPr>
          <w:rStyle w:val="Strong"/>
          <w:rFonts w:eastAsiaTheme="majorEastAsia"/>
          <w:sz w:val="22"/>
          <w:szCs w:val="22"/>
        </w:rPr>
        <w:t>EPS</w:t>
      </w:r>
      <w:r w:rsidRPr="00956486">
        <w:rPr>
          <w:sz w:val="22"/>
          <w:szCs w:val="22"/>
        </w:rPr>
        <w:t xml:space="preserve">: $1.70 (vs. $1.58 </w:t>
      </w:r>
      <w:proofErr w:type="spellStart"/>
      <w:r w:rsidRPr="00956486">
        <w:rPr>
          <w:sz w:val="22"/>
          <w:szCs w:val="22"/>
        </w:rPr>
        <w:t>est</w:t>
      </w:r>
      <w:proofErr w:type="spellEnd"/>
      <w:r w:rsidRPr="00956486">
        <w:rPr>
          <w:sz w:val="22"/>
          <w:szCs w:val="22"/>
        </w:rPr>
        <w:t>), up 7.6% YoY</w:t>
      </w:r>
    </w:p>
    <w:p w14:paraId="6893BE06" w14:textId="77777777" w:rsidR="00F13BC0" w:rsidRPr="00956486" w:rsidRDefault="00F13BC0" w:rsidP="00127934">
      <w:pPr>
        <w:pStyle w:val="NormalWeb"/>
        <w:numPr>
          <w:ilvl w:val="0"/>
          <w:numId w:val="78"/>
        </w:numPr>
        <w:rPr>
          <w:sz w:val="22"/>
          <w:szCs w:val="22"/>
        </w:rPr>
      </w:pPr>
      <w:proofErr w:type="spellStart"/>
      <w:r w:rsidRPr="00956486">
        <w:rPr>
          <w:rStyle w:val="Strong"/>
          <w:rFonts w:eastAsiaTheme="majorEastAsia"/>
          <w:sz w:val="22"/>
          <w:szCs w:val="22"/>
        </w:rPr>
        <w:t>CapEx</w:t>
      </w:r>
      <w:proofErr w:type="spellEnd"/>
      <w:r w:rsidRPr="00956486">
        <w:rPr>
          <w:sz w:val="22"/>
          <w:szCs w:val="22"/>
        </w:rPr>
        <w:t>: $161 million in Q2; 2025 guidance revised slightly down to $650–700 million (from $750M)</w:t>
      </w:r>
    </w:p>
    <w:p w14:paraId="06EDD755" w14:textId="77777777" w:rsidR="00F13BC0" w:rsidRPr="00956486" w:rsidRDefault="00F13BC0" w:rsidP="00127934">
      <w:pPr>
        <w:pStyle w:val="NormalWeb"/>
        <w:numPr>
          <w:ilvl w:val="0"/>
          <w:numId w:val="78"/>
        </w:numPr>
        <w:rPr>
          <w:sz w:val="22"/>
          <w:szCs w:val="22"/>
        </w:rPr>
      </w:pPr>
      <w:r w:rsidRPr="00956486">
        <w:rPr>
          <w:rStyle w:val="Strong"/>
          <w:rFonts w:eastAsiaTheme="majorEastAsia"/>
          <w:sz w:val="22"/>
          <w:szCs w:val="22"/>
        </w:rPr>
        <w:t>Net debt</w:t>
      </w:r>
      <w:r w:rsidRPr="00956486">
        <w:rPr>
          <w:sz w:val="22"/>
          <w:szCs w:val="22"/>
        </w:rPr>
        <w:t>: ~$2.3B, leverage ratio &lt;1.0x; over $1.9B in cash and available credit</w:t>
      </w:r>
    </w:p>
    <w:p w14:paraId="6D6A819D" w14:textId="77777777" w:rsidR="00F13BC0" w:rsidRPr="00956486" w:rsidRDefault="00F13BC0" w:rsidP="00127934">
      <w:pPr>
        <w:pStyle w:val="NormalWeb"/>
        <w:numPr>
          <w:ilvl w:val="0"/>
          <w:numId w:val="78"/>
        </w:numPr>
        <w:rPr>
          <w:sz w:val="22"/>
          <w:szCs w:val="22"/>
        </w:rPr>
      </w:pPr>
      <w:r w:rsidRPr="00956486">
        <w:rPr>
          <w:sz w:val="22"/>
          <w:szCs w:val="22"/>
        </w:rPr>
        <w:t>Legal settlement charges of $58M were incurred this quarter (boilers litigation)</w:t>
      </w:r>
    </w:p>
    <w:p w14:paraId="29FB448B" w14:textId="77777777" w:rsidR="00F13BC0" w:rsidRPr="00956486" w:rsidRDefault="00F13BC0" w:rsidP="00F13BC0">
      <w:pPr>
        <w:pStyle w:val="NormalWeb"/>
        <w:rPr>
          <w:sz w:val="22"/>
          <w:szCs w:val="22"/>
        </w:rPr>
      </w:pPr>
      <w:r w:rsidRPr="00956486">
        <w:rPr>
          <w:rStyle w:val="Strong"/>
          <w:rFonts w:eastAsiaTheme="majorEastAsia"/>
          <w:sz w:val="22"/>
          <w:szCs w:val="22"/>
        </w:rPr>
        <w:t>Operational Highlights</w:t>
      </w:r>
    </w:p>
    <w:p w14:paraId="2781608A" w14:textId="77777777" w:rsidR="00F13BC0" w:rsidRPr="00956486" w:rsidRDefault="00F13BC0" w:rsidP="00127934">
      <w:pPr>
        <w:pStyle w:val="NormalWeb"/>
        <w:numPr>
          <w:ilvl w:val="0"/>
          <w:numId w:val="79"/>
        </w:numPr>
        <w:rPr>
          <w:sz w:val="22"/>
          <w:szCs w:val="22"/>
        </w:rPr>
      </w:pPr>
      <w:r w:rsidRPr="00956486">
        <w:rPr>
          <w:sz w:val="22"/>
          <w:szCs w:val="22"/>
        </w:rPr>
        <w:t>U.S. business drove profit via:</w:t>
      </w:r>
    </w:p>
    <w:p w14:paraId="29615205" w14:textId="77777777" w:rsidR="00F13BC0" w:rsidRPr="00956486" w:rsidRDefault="00F13BC0" w:rsidP="00127934">
      <w:pPr>
        <w:pStyle w:val="NormalWeb"/>
        <w:numPr>
          <w:ilvl w:val="1"/>
          <w:numId w:val="79"/>
        </w:numPr>
        <w:rPr>
          <w:sz w:val="22"/>
          <w:szCs w:val="22"/>
        </w:rPr>
      </w:pPr>
      <w:r w:rsidRPr="00956486">
        <w:rPr>
          <w:sz w:val="22"/>
          <w:szCs w:val="22"/>
        </w:rPr>
        <w:t xml:space="preserve">Strong QSR demand in </w:t>
      </w:r>
      <w:r w:rsidRPr="00956486">
        <w:rPr>
          <w:rStyle w:val="Strong"/>
          <w:rFonts w:eastAsiaTheme="majorEastAsia"/>
          <w:sz w:val="22"/>
          <w:szCs w:val="22"/>
        </w:rPr>
        <w:t>Small Bird</w:t>
      </w:r>
      <w:r w:rsidRPr="00956486">
        <w:rPr>
          <w:sz w:val="22"/>
          <w:szCs w:val="22"/>
        </w:rPr>
        <w:t xml:space="preserve"> and </w:t>
      </w:r>
      <w:r w:rsidRPr="00956486">
        <w:rPr>
          <w:rStyle w:val="Strong"/>
          <w:rFonts w:eastAsiaTheme="majorEastAsia"/>
          <w:sz w:val="22"/>
          <w:szCs w:val="22"/>
        </w:rPr>
        <w:t>Big Bird</w:t>
      </w:r>
      <w:r w:rsidRPr="00956486">
        <w:rPr>
          <w:sz w:val="22"/>
          <w:szCs w:val="22"/>
        </w:rPr>
        <w:t xml:space="preserve"> segments</w:t>
      </w:r>
    </w:p>
    <w:p w14:paraId="15945306" w14:textId="77777777" w:rsidR="00F13BC0" w:rsidRPr="00956486" w:rsidRDefault="00F13BC0" w:rsidP="00127934">
      <w:pPr>
        <w:pStyle w:val="NormalWeb"/>
        <w:numPr>
          <w:ilvl w:val="1"/>
          <w:numId w:val="79"/>
        </w:numPr>
        <w:rPr>
          <w:sz w:val="22"/>
          <w:szCs w:val="22"/>
        </w:rPr>
      </w:pPr>
      <w:r w:rsidRPr="00956486">
        <w:rPr>
          <w:sz w:val="22"/>
          <w:szCs w:val="22"/>
        </w:rPr>
        <w:t>Record spreads between boneless skinless breast and ground beef</w:t>
      </w:r>
    </w:p>
    <w:p w14:paraId="7641D269" w14:textId="77777777" w:rsidR="00F13BC0" w:rsidRPr="00956486" w:rsidRDefault="00F13BC0" w:rsidP="00127934">
      <w:pPr>
        <w:pStyle w:val="NormalWeb"/>
        <w:numPr>
          <w:ilvl w:val="1"/>
          <w:numId w:val="79"/>
        </w:numPr>
        <w:rPr>
          <w:sz w:val="22"/>
          <w:szCs w:val="22"/>
        </w:rPr>
      </w:pPr>
      <w:r w:rsidRPr="00956486">
        <w:rPr>
          <w:sz w:val="22"/>
          <w:szCs w:val="22"/>
        </w:rPr>
        <w:t xml:space="preserve">20% YoY growth in </w:t>
      </w:r>
      <w:r w:rsidRPr="00956486">
        <w:rPr>
          <w:rStyle w:val="Strong"/>
          <w:rFonts w:eastAsiaTheme="majorEastAsia"/>
          <w:sz w:val="22"/>
          <w:szCs w:val="22"/>
        </w:rPr>
        <w:t>Just Bare</w:t>
      </w:r>
      <w:r w:rsidRPr="00956486">
        <w:rPr>
          <w:sz w:val="22"/>
          <w:szCs w:val="22"/>
        </w:rPr>
        <w:t xml:space="preserve"> brand sales and over 10% U.S. retail market share</w:t>
      </w:r>
    </w:p>
    <w:p w14:paraId="5632000D" w14:textId="77777777" w:rsidR="00F13BC0" w:rsidRPr="00956486" w:rsidRDefault="00F13BC0" w:rsidP="00127934">
      <w:pPr>
        <w:pStyle w:val="NormalWeb"/>
        <w:numPr>
          <w:ilvl w:val="0"/>
          <w:numId w:val="79"/>
        </w:numPr>
        <w:rPr>
          <w:sz w:val="22"/>
          <w:szCs w:val="22"/>
        </w:rPr>
      </w:pPr>
      <w:r w:rsidRPr="00956486">
        <w:rPr>
          <w:rStyle w:val="Strong"/>
          <w:rFonts w:eastAsiaTheme="majorEastAsia"/>
          <w:sz w:val="22"/>
          <w:szCs w:val="22"/>
        </w:rPr>
        <w:t>Case Ready</w:t>
      </w:r>
      <w:r w:rsidRPr="00956486">
        <w:rPr>
          <w:sz w:val="22"/>
          <w:szCs w:val="22"/>
        </w:rPr>
        <w:t xml:space="preserve"> and </w:t>
      </w:r>
      <w:r w:rsidRPr="00956486">
        <w:rPr>
          <w:rStyle w:val="Strong"/>
          <w:rFonts w:eastAsiaTheme="majorEastAsia"/>
          <w:sz w:val="22"/>
          <w:szCs w:val="22"/>
        </w:rPr>
        <w:t>Prepared Foods</w:t>
      </w:r>
      <w:r w:rsidRPr="00956486">
        <w:rPr>
          <w:sz w:val="22"/>
          <w:szCs w:val="22"/>
        </w:rPr>
        <w:t xml:space="preserve"> continued to gain ground in retail, offsetting softer foodservice traffic</w:t>
      </w:r>
    </w:p>
    <w:p w14:paraId="5738E0F1" w14:textId="77777777" w:rsidR="00F13BC0" w:rsidRPr="00956486" w:rsidRDefault="00F13BC0" w:rsidP="00127934">
      <w:pPr>
        <w:pStyle w:val="NormalWeb"/>
        <w:numPr>
          <w:ilvl w:val="0"/>
          <w:numId w:val="79"/>
        </w:numPr>
        <w:rPr>
          <w:sz w:val="22"/>
          <w:szCs w:val="22"/>
        </w:rPr>
      </w:pPr>
      <w:r w:rsidRPr="00956486">
        <w:rPr>
          <w:sz w:val="22"/>
          <w:szCs w:val="22"/>
        </w:rPr>
        <w:t xml:space="preserve">Broiler exports </w:t>
      </w:r>
      <w:proofErr w:type="gramStart"/>
      <w:r w:rsidRPr="00956486">
        <w:rPr>
          <w:sz w:val="22"/>
          <w:szCs w:val="22"/>
        </w:rPr>
        <w:t>still</w:t>
      </w:r>
      <w:proofErr w:type="gramEnd"/>
      <w:r w:rsidRPr="00956486">
        <w:rPr>
          <w:sz w:val="22"/>
          <w:szCs w:val="22"/>
        </w:rPr>
        <w:t xml:space="preserve"> lagging, but dark meat pricing held firm amid high domestic demand</w:t>
      </w:r>
    </w:p>
    <w:p w14:paraId="3C1A5ECF" w14:textId="77777777" w:rsidR="00F13BC0" w:rsidRPr="00956486" w:rsidRDefault="00F13BC0" w:rsidP="00127934">
      <w:pPr>
        <w:pStyle w:val="NormalWeb"/>
        <w:numPr>
          <w:ilvl w:val="0"/>
          <w:numId w:val="79"/>
        </w:numPr>
        <w:rPr>
          <w:sz w:val="22"/>
          <w:szCs w:val="22"/>
        </w:rPr>
      </w:pPr>
      <w:r w:rsidRPr="00956486">
        <w:rPr>
          <w:sz w:val="22"/>
          <w:szCs w:val="22"/>
        </w:rPr>
        <w:t>Grain input costs were favorable: corn and soybean meal prices declined YoY</w:t>
      </w:r>
    </w:p>
    <w:p w14:paraId="5AB3FC32" w14:textId="77777777" w:rsidR="00F13BC0" w:rsidRPr="00956486" w:rsidRDefault="00F13BC0" w:rsidP="00127934">
      <w:pPr>
        <w:pStyle w:val="NormalWeb"/>
        <w:numPr>
          <w:ilvl w:val="0"/>
          <w:numId w:val="79"/>
        </w:numPr>
        <w:rPr>
          <w:sz w:val="22"/>
          <w:szCs w:val="22"/>
        </w:rPr>
      </w:pPr>
      <w:r w:rsidRPr="00956486">
        <w:rPr>
          <w:sz w:val="22"/>
          <w:szCs w:val="22"/>
        </w:rPr>
        <w:t xml:space="preserve">Digital commerce sales up 26% YoY; Just Bare ranked #1 in </w:t>
      </w:r>
      <w:proofErr w:type="spellStart"/>
      <w:r w:rsidRPr="00956486">
        <w:rPr>
          <w:sz w:val="22"/>
          <w:szCs w:val="22"/>
        </w:rPr>
        <w:t>Circana's</w:t>
      </w:r>
      <w:proofErr w:type="spellEnd"/>
      <w:r w:rsidRPr="00956486">
        <w:rPr>
          <w:sz w:val="22"/>
          <w:szCs w:val="22"/>
        </w:rPr>
        <w:t xml:space="preserve"> 2024 Product Pa Fetters list</w:t>
      </w:r>
    </w:p>
    <w:p w14:paraId="45DEF191" w14:textId="77777777" w:rsidR="00F13BC0" w:rsidRPr="00956486" w:rsidRDefault="00F13BC0" w:rsidP="00F13BC0">
      <w:pPr>
        <w:pStyle w:val="NormalWeb"/>
        <w:rPr>
          <w:sz w:val="22"/>
          <w:szCs w:val="22"/>
        </w:rPr>
      </w:pPr>
      <w:r w:rsidRPr="00956486">
        <w:rPr>
          <w:rStyle w:val="Strong"/>
          <w:rFonts w:eastAsiaTheme="majorEastAsia"/>
          <w:sz w:val="22"/>
          <w:szCs w:val="22"/>
        </w:rPr>
        <w:t>Business Expansions &amp; Capital Expenditure Plans</w:t>
      </w:r>
    </w:p>
    <w:p w14:paraId="14E614A1" w14:textId="77777777" w:rsidR="00F13BC0" w:rsidRPr="00956486" w:rsidRDefault="00F13BC0" w:rsidP="00127934">
      <w:pPr>
        <w:pStyle w:val="NormalWeb"/>
        <w:numPr>
          <w:ilvl w:val="0"/>
          <w:numId w:val="80"/>
        </w:numPr>
        <w:rPr>
          <w:sz w:val="22"/>
          <w:szCs w:val="22"/>
        </w:rPr>
      </w:pPr>
      <w:r w:rsidRPr="00956486">
        <w:rPr>
          <w:rStyle w:val="Strong"/>
          <w:rFonts w:eastAsiaTheme="majorEastAsia"/>
          <w:sz w:val="22"/>
          <w:szCs w:val="22"/>
        </w:rPr>
        <w:t>$400M new Prepared Foods plant in Walker County, Georgia</w:t>
      </w:r>
      <w:r w:rsidRPr="00956486">
        <w:rPr>
          <w:sz w:val="22"/>
          <w:szCs w:val="22"/>
        </w:rPr>
        <w:t xml:space="preserve"> announced (begins operation 1H 2027)</w:t>
      </w:r>
    </w:p>
    <w:p w14:paraId="59B22CDE" w14:textId="77777777" w:rsidR="00F13BC0" w:rsidRPr="00956486" w:rsidRDefault="00F13BC0" w:rsidP="00127934">
      <w:pPr>
        <w:pStyle w:val="NormalWeb"/>
        <w:numPr>
          <w:ilvl w:val="1"/>
          <w:numId w:val="80"/>
        </w:numPr>
        <w:rPr>
          <w:sz w:val="22"/>
          <w:szCs w:val="22"/>
        </w:rPr>
      </w:pPr>
      <w:r w:rsidRPr="00956486">
        <w:rPr>
          <w:sz w:val="22"/>
          <w:szCs w:val="22"/>
        </w:rPr>
        <w:t xml:space="preserve">Supports further growth in </w:t>
      </w:r>
      <w:r w:rsidRPr="00956486">
        <w:rPr>
          <w:rStyle w:val="Strong"/>
          <w:rFonts w:eastAsiaTheme="majorEastAsia"/>
          <w:sz w:val="22"/>
          <w:szCs w:val="22"/>
        </w:rPr>
        <w:t>Just Bare</w:t>
      </w:r>
      <w:r w:rsidRPr="00956486">
        <w:rPr>
          <w:sz w:val="22"/>
          <w:szCs w:val="22"/>
        </w:rPr>
        <w:t xml:space="preserve"> brand and expands fully cooked capacity by 40%</w:t>
      </w:r>
    </w:p>
    <w:p w14:paraId="23702C53" w14:textId="77777777" w:rsidR="00F13BC0" w:rsidRPr="00956486" w:rsidRDefault="00F13BC0" w:rsidP="00127934">
      <w:pPr>
        <w:pStyle w:val="NormalWeb"/>
        <w:numPr>
          <w:ilvl w:val="1"/>
          <w:numId w:val="80"/>
        </w:numPr>
        <w:rPr>
          <w:sz w:val="22"/>
          <w:szCs w:val="22"/>
        </w:rPr>
      </w:pPr>
      <w:r w:rsidRPr="00956486">
        <w:rPr>
          <w:sz w:val="22"/>
          <w:szCs w:val="22"/>
        </w:rPr>
        <w:t xml:space="preserve">Will create </w:t>
      </w:r>
      <w:r w:rsidRPr="00956486">
        <w:rPr>
          <w:rStyle w:val="Strong"/>
          <w:rFonts w:eastAsiaTheme="majorEastAsia"/>
          <w:sz w:val="22"/>
          <w:szCs w:val="22"/>
        </w:rPr>
        <w:t>over 630 jobs</w:t>
      </w:r>
    </w:p>
    <w:p w14:paraId="2161204E" w14:textId="77777777" w:rsidR="00F13BC0" w:rsidRPr="00956486" w:rsidRDefault="00F13BC0" w:rsidP="00127934">
      <w:pPr>
        <w:pStyle w:val="NormalWeb"/>
        <w:numPr>
          <w:ilvl w:val="0"/>
          <w:numId w:val="80"/>
        </w:numPr>
        <w:rPr>
          <w:sz w:val="22"/>
          <w:szCs w:val="22"/>
        </w:rPr>
      </w:pPr>
      <w:r w:rsidRPr="00956486">
        <w:rPr>
          <w:rStyle w:val="Strong"/>
          <w:rFonts w:eastAsiaTheme="majorEastAsia"/>
          <w:sz w:val="22"/>
          <w:szCs w:val="22"/>
        </w:rPr>
        <w:t>Russellville, Alabama plant</w:t>
      </w:r>
      <w:r w:rsidRPr="00956486">
        <w:rPr>
          <w:sz w:val="22"/>
          <w:szCs w:val="22"/>
        </w:rPr>
        <w:t xml:space="preserve"> undergoing conversion to a </w:t>
      </w:r>
      <w:r w:rsidRPr="00956486">
        <w:rPr>
          <w:rStyle w:val="Strong"/>
          <w:rFonts w:eastAsiaTheme="majorEastAsia"/>
          <w:sz w:val="22"/>
          <w:szCs w:val="22"/>
        </w:rPr>
        <w:t>No Antibiotics Ever (NAE)</w:t>
      </w:r>
      <w:r w:rsidRPr="00956486">
        <w:rPr>
          <w:sz w:val="22"/>
          <w:szCs w:val="22"/>
        </w:rPr>
        <w:t xml:space="preserve"> and </w:t>
      </w:r>
      <w:r w:rsidRPr="00956486">
        <w:rPr>
          <w:rStyle w:val="Strong"/>
          <w:rFonts w:eastAsiaTheme="majorEastAsia"/>
          <w:sz w:val="22"/>
          <w:szCs w:val="22"/>
        </w:rPr>
        <w:t>vegetarian-fed</w:t>
      </w:r>
      <w:r w:rsidRPr="00956486">
        <w:rPr>
          <w:sz w:val="22"/>
          <w:szCs w:val="22"/>
        </w:rPr>
        <w:t xml:space="preserve"> production facility</w:t>
      </w:r>
    </w:p>
    <w:p w14:paraId="26211400" w14:textId="77777777" w:rsidR="00F13BC0" w:rsidRPr="00956486" w:rsidRDefault="00F13BC0" w:rsidP="00127934">
      <w:pPr>
        <w:pStyle w:val="NormalWeb"/>
        <w:numPr>
          <w:ilvl w:val="1"/>
          <w:numId w:val="80"/>
        </w:numPr>
        <w:rPr>
          <w:sz w:val="22"/>
          <w:szCs w:val="22"/>
        </w:rPr>
      </w:pPr>
      <w:r w:rsidRPr="00956486">
        <w:rPr>
          <w:sz w:val="22"/>
          <w:szCs w:val="22"/>
        </w:rPr>
        <w:t xml:space="preserve">Conversion supports key Case Ready customer needs; production expected to begin </w:t>
      </w:r>
      <w:r w:rsidRPr="00956486">
        <w:rPr>
          <w:rStyle w:val="Strong"/>
          <w:rFonts w:eastAsiaTheme="majorEastAsia"/>
          <w:sz w:val="22"/>
          <w:szCs w:val="22"/>
        </w:rPr>
        <w:t>Q1 2026</w:t>
      </w:r>
    </w:p>
    <w:p w14:paraId="5E08F84C" w14:textId="77777777" w:rsidR="00F13BC0" w:rsidRPr="00956486" w:rsidRDefault="00F13BC0" w:rsidP="00127934">
      <w:pPr>
        <w:pStyle w:val="NormalWeb"/>
        <w:numPr>
          <w:ilvl w:val="1"/>
          <w:numId w:val="80"/>
        </w:numPr>
        <w:rPr>
          <w:sz w:val="22"/>
          <w:szCs w:val="22"/>
        </w:rPr>
      </w:pPr>
      <w:r w:rsidRPr="00956486">
        <w:rPr>
          <w:sz w:val="22"/>
          <w:szCs w:val="22"/>
        </w:rPr>
        <w:t>Part of a broader Prepared Foods and NAE growth strategy</w:t>
      </w:r>
    </w:p>
    <w:p w14:paraId="192A7392" w14:textId="77777777" w:rsidR="00F13BC0" w:rsidRPr="00956486" w:rsidRDefault="00F13BC0" w:rsidP="00127934">
      <w:pPr>
        <w:pStyle w:val="NormalWeb"/>
        <w:numPr>
          <w:ilvl w:val="0"/>
          <w:numId w:val="80"/>
        </w:numPr>
        <w:rPr>
          <w:sz w:val="22"/>
          <w:szCs w:val="22"/>
        </w:rPr>
      </w:pPr>
      <w:r w:rsidRPr="00956486">
        <w:rPr>
          <w:sz w:val="22"/>
          <w:szCs w:val="22"/>
        </w:rPr>
        <w:t>Company continues to operate its Prepared Foods business independently with flexibility to source from internal and external producers</w:t>
      </w:r>
    </w:p>
    <w:p w14:paraId="0CA07A77" w14:textId="77777777" w:rsidR="00F13BC0" w:rsidRPr="00956486" w:rsidRDefault="00F13BC0" w:rsidP="00127934">
      <w:pPr>
        <w:pStyle w:val="NormalWeb"/>
        <w:numPr>
          <w:ilvl w:val="0"/>
          <w:numId w:val="80"/>
        </w:numPr>
        <w:rPr>
          <w:sz w:val="22"/>
          <w:szCs w:val="22"/>
        </w:rPr>
      </w:pPr>
      <w:r w:rsidRPr="00956486">
        <w:rPr>
          <w:sz w:val="22"/>
          <w:szCs w:val="22"/>
        </w:rPr>
        <w:t xml:space="preserve">Total </w:t>
      </w:r>
      <w:proofErr w:type="spellStart"/>
      <w:r w:rsidRPr="00956486">
        <w:rPr>
          <w:sz w:val="22"/>
          <w:szCs w:val="22"/>
        </w:rPr>
        <w:t>CapEx</w:t>
      </w:r>
      <w:proofErr w:type="spellEnd"/>
      <w:r w:rsidRPr="00956486">
        <w:rPr>
          <w:sz w:val="22"/>
          <w:szCs w:val="22"/>
        </w:rPr>
        <w:t xml:space="preserve"> in 2025 expected to be slightly lower than initial forecast due to phasing of key projects</w:t>
      </w:r>
    </w:p>
    <w:p w14:paraId="0386D338" w14:textId="77777777" w:rsidR="00F13BC0" w:rsidRPr="00956486" w:rsidRDefault="00F13BC0" w:rsidP="00127934">
      <w:pPr>
        <w:pStyle w:val="NormalWeb"/>
        <w:numPr>
          <w:ilvl w:val="0"/>
          <w:numId w:val="80"/>
        </w:numPr>
        <w:rPr>
          <w:sz w:val="22"/>
          <w:szCs w:val="22"/>
        </w:rPr>
      </w:pPr>
      <w:r w:rsidRPr="00956486">
        <w:rPr>
          <w:sz w:val="22"/>
          <w:szCs w:val="22"/>
        </w:rPr>
        <w:lastRenderedPageBreak/>
        <w:t>~$650 million in near-term growth investments across Russellville (AL), Mexico, and Georgia</w:t>
      </w:r>
    </w:p>
    <w:p w14:paraId="6661B05B" w14:textId="77777777" w:rsidR="00F13BC0" w:rsidRPr="00956486" w:rsidRDefault="00F13BC0" w:rsidP="00F13BC0">
      <w:pPr>
        <w:pStyle w:val="NormalWeb"/>
        <w:rPr>
          <w:sz w:val="22"/>
          <w:szCs w:val="22"/>
        </w:rPr>
      </w:pPr>
      <w:r w:rsidRPr="00956486">
        <w:rPr>
          <w:rStyle w:val="Strong"/>
          <w:rFonts w:eastAsiaTheme="majorEastAsia"/>
          <w:sz w:val="22"/>
          <w:szCs w:val="22"/>
        </w:rPr>
        <w:t>Segment Performance &amp; Outlook</w:t>
      </w:r>
    </w:p>
    <w:p w14:paraId="4CB788EC" w14:textId="77777777" w:rsidR="00F13BC0" w:rsidRPr="00956486" w:rsidRDefault="00F13BC0" w:rsidP="00127934">
      <w:pPr>
        <w:pStyle w:val="NormalWeb"/>
        <w:numPr>
          <w:ilvl w:val="0"/>
          <w:numId w:val="81"/>
        </w:numPr>
        <w:rPr>
          <w:sz w:val="22"/>
          <w:szCs w:val="22"/>
        </w:rPr>
      </w:pPr>
      <w:r w:rsidRPr="00956486">
        <w:rPr>
          <w:rStyle w:val="Strong"/>
          <w:rFonts w:eastAsiaTheme="majorEastAsia"/>
          <w:sz w:val="22"/>
          <w:szCs w:val="22"/>
        </w:rPr>
        <w:t>U.S. Segment</w:t>
      </w:r>
      <w:r w:rsidRPr="00956486">
        <w:rPr>
          <w:sz w:val="22"/>
          <w:szCs w:val="22"/>
        </w:rPr>
        <w:t>:</w:t>
      </w:r>
    </w:p>
    <w:p w14:paraId="380C94DC" w14:textId="77777777" w:rsidR="00F13BC0" w:rsidRPr="00956486" w:rsidRDefault="00F13BC0" w:rsidP="00127934">
      <w:pPr>
        <w:pStyle w:val="NormalWeb"/>
        <w:numPr>
          <w:ilvl w:val="1"/>
          <w:numId w:val="81"/>
        </w:numPr>
        <w:rPr>
          <w:sz w:val="22"/>
          <w:szCs w:val="22"/>
        </w:rPr>
      </w:pPr>
      <w:r w:rsidRPr="00956486">
        <w:rPr>
          <w:sz w:val="22"/>
          <w:szCs w:val="22"/>
        </w:rPr>
        <w:t>Net revenue: $2.82 billion (+6% YoY)</w:t>
      </w:r>
    </w:p>
    <w:p w14:paraId="55B78E91" w14:textId="77777777" w:rsidR="00F13BC0" w:rsidRPr="00956486" w:rsidRDefault="00F13BC0" w:rsidP="00127934">
      <w:pPr>
        <w:pStyle w:val="NormalWeb"/>
        <w:numPr>
          <w:ilvl w:val="1"/>
          <w:numId w:val="81"/>
        </w:numPr>
        <w:rPr>
          <w:sz w:val="22"/>
          <w:szCs w:val="22"/>
        </w:rPr>
      </w:pPr>
      <w:r w:rsidRPr="00956486">
        <w:rPr>
          <w:sz w:val="22"/>
          <w:szCs w:val="22"/>
        </w:rPr>
        <w:t>EBITDA: $482.7 million (+8.6% YoY)</w:t>
      </w:r>
    </w:p>
    <w:p w14:paraId="7DE537EC" w14:textId="77777777" w:rsidR="00F13BC0" w:rsidRPr="00956486" w:rsidRDefault="00F13BC0" w:rsidP="00127934">
      <w:pPr>
        <w:pStyle w:val="NormalWeb"/>
        <w:numPr>
          <w:ilvl w:val="1"/>
          <w:numId w:val="81"/>
        </w:numPr>
        <w:rPr>
          <w:sz w:val="22"/>
          <w:szCs w:val="22"/>
        </w:rPr>
      </w:pPr>
      <w:r w:rsidRPr="00956486">
        <w:rPr>
          <w:sz w:val="22"/>
          <w:szCs w:val="22"/>
        </w:rPr>
        <w:t>Small Bird: Strong performance in QSRs, offsetting weakness in deli</w:t>
      </w:r>
    </w:p>
    <w:p w14:paraId="5D9F6479" w14:textId="77777777" w:rsidR="00F13BC0" w:rsidRPr="00956486" w:rsidRDefault="00F13BC0" w:rsidP="00127934">
      <w:pPr>
        <w:pStyle w:val="NormalWeb"/>
        <w:numPr>
          <w:ilvl w:val="1"/>
          <w:numId w:val="81"/>
        </w:numPr>
        <w:rPr>
          <w:sz w:val="22"/>
          <w:szCs w:val="22"/>
        </w:rPr>
      </w:pPr>
      <w:r w:rsidRPr="00956486">
        <w:rPr>
          <w:sz w:val="22"/>
          <w:szCs w:val="22"/>
        </w:rPr>
        <w:t>Big Bird: High margins supported by commodity tailwinds</w:t>
      </w:r>
    </w:p>
    <w:p w14:paraId="46DE6D05" w14:textId="77777777" w:rsidR="00F13BC0" w:rsidRPr="00956486" w:rsidRDefault="00F13BC0" w:rsidP="00127934">
      <w:pPr>
        <w:pStyle w:val="NormalWeb"/>
        <w:numPr>
          <w:ilvl w:val="1"/>
          <w:numId w:val="81"/>
        </w:numPr>
        <w:rPr>
          <w:sz w:val="22"/>
          <w:szCs w:val="22"/>
        </w:rPr>
      </w:pPr>
      <w:r w:rsidRPr="00956486">
        <w:rPr>
          <w:sz w:val="22"/>
          <w:szCs w:val="22"/>
        </w:rPr>
        <w:t>Case Ready and Prepared: Continued demand and margin improvement, though higher chicken input costs affected Prepared Foods margins</w:t>
      </w:r>
    </w:p>
    <w:p w14:paraId="5E092458" w14:textId="77777777" w:rsidR="00F13BC0" w:rsidRPr="00956486" w:rsidRDefault="00F13BC0" w:rsidP="00127934">
      <w:pPr>
        <w:pStyle w:val="NormalWeb"/>
        <w:numPr>
          <w:ilvl w:val="1"/>
          <w:numId w:val="81"/>
        </w:numPr>
        <w:rPr>
          <w:sz w:val="22"/>
          <w:szCs w:val="22"/>
        </w:rPr>
      </w:pPr>
      <w:r w:rsidRPr="00956486">
        <w:rPr>
          <w:rStyle w:val="Strong"/>
          <w:rFonts w:eastAsiaTheme="majorEastAsia"/>
          <w:sz w:val="22"/>
          <w:szCs w:val="22"/>
        </w:rPr>
        <w:t>Russellville, AL</w:t>
      </w:r>
      <w:r w:rsidRPr="00956486">
        <w:rPr>
          <w:sz w:val="22"/>
          <w:szCs w:val="22"/>
        </w:rPr>
        <w:t xml:space="preserve"> plant conversion positions Pilgrim’s for higher-margin retail growth</w:t>
      </w:r>
    </w:p>
    <w:p w14:paraId="1FC42168" w14:textId="77777777" w:rsidR="00F13BC0" w:rsidRPr="00956486" w:rsidRDefault="00F13BC0" w:rsidP="00127934">
      <w:pPr>
        <w:pStyle w:val="NormalWeb"/>
        <w:numPr>
          <w:ilvl w:val="0"/>
          <w:numId w:val="81"/>
        </w:numPr>
        <w:rPr>
          <w:sz w:val="22"/>
          <w:szCs w:val="22"/>
        </w:rPr>
      </w:pPr>
      <w:r w:rsidRPr="00956486">
        <w:rPr>
          <w:rStyle w:val="Strong"/>
          <w:rFonts w:eastAsiaTheme="majorEastAsia"/>
          <w:sz w:val="22"/>
          <w:szCs w:val="22"/>
        </w:rPr>
        <w:t>Prepared Foods</w:t>
      </w:r>
      <w:r w:rsidRPr="00956486">
        <w:rPr>
          <w:sz w:val="22"/>
          <w:szCs w:val="22"/>
        </w:rPr>
        <w:t>:</w:t>
      </w:r>
    </w:p>
    <w:p w14:paraId="424259AA" w14:textId="77777777" w:rsidR="00F13BC0" w:rsidRPr="00956486" w:rsidRDefault="00F13BC0" w:rsidP="00127934">
      <w:pPr>
        <w:pStyle w:val="NormalWeb"/>
        <w:numPr>
          <w:ilvl w:val="1"/>
          <w:numId w:val="81"/>
        </w:numPr>
        <w:rPr>
          <w:sz w:val="22"/>
          <w:szCs w:val="22"/>
        </w:rPr>
      </w:pPr>
      <w:r w:rsidRPr="00956486">
        <w:rPr>
          <w:sz w:val="22"/>
          <w:szCs w:val="22"/>
        </w:rPr>
        <w:t xml:space="preserve">Sales </w:t>
      </w:r>
      <w:proofErr w:type="gramStart"/>
      <w:r w:rsidRPr="00956486">
        <w:rPr>
          <w:sz w:val="22"/>
          <w:szCs w:val="22"/>
        </w:rPr>
        <w:t>up</w:t>
      </w:r>
      <w:proofErr w:type="gramEnd"/>
      <w:r w:rsidRPr="00956486">
        <w:rPr>
          <w:sz w:val="22"/>
          <w:szCs w:val="22"/>
        </w:rPr>
        <w:t xml:space="preserve"> </w:t>
      </w:r>
      <w:r w:rsidRPr="00956486">
        <w:rPr>
          <w:rStyle w:val="Strong"/>
          <w:rFonts w:eastAsiaTheme="majorEastAsia"/>
          <w:sz w:val="22"/>
          <w:szCs w:val="22"/>
        </w:rPr>
        <w:t>25%+ YoY</w:t>
      </w:r>
      <w:r w:rsidRPr="00956486">
        <w:rPr>
          <w:sz w:val="22"/>
          <w:szCs w:val="22"/>
        </w:rPr>
        <w:t>, led by new products and expanded distribution</w:t>
      </w:r>
    </w:p>
    <w:p w14:paraId="0676A228" w14:textId="77777777" w:rsidR="00F13BC0" w:rsidRPr="00956486" w:rsidRDefault="00F13BC0" w:rsidP="00127934">
      <w:pPr>
        <w:pStyle w:val="NormalWeb"/>
        <w:numPr>
          <w:ilvl w:val="1"/>
          <w:numId w:val="81"/>
        </w:numPr>
        <w:rPr>
          <w:sz w:val="22"/>
          <w:szCs w:val="22"/>
        </w:rPr>
      </w:pPr>
      <w:r w:rsidRPr="00956486">
        <w:rPr>
          <w:rStyle w:val="Strong"/>
          <w:rFonts w:eastAsiaTheme="majorEastAsia"/>
          <w:sz w:val="22"/>
          <w:szCs w:val="22"/>
        </w:rPr>
        <w:t>Pilgrim’s and Gold Kist brands</w:t>
      </w:r>
      <w:r w:rsidRPr="00956486">
        <w:rPr>
          <w:sz w:val="22"/>
          <w:szCs w:val="22"/>
        </w:rPr>
        <w:t xml:space="preserve"> gaining foodservice traction</w:t>
      </w:r>
    </w:p>
    <w:p w14:paraId="10379261" w14:textId="77777777" w:rsidR="00F13BC0" w:rsidRPr="00956486" w:rsidRDefault="00F13BC0" w:rsidP="00127934">
      <w:pPr>
        <w:pStyle w:val="NormalWeb"/>
        <w:numPr>
          <w:ilvl w:val="1"/>
          <w:numId w:val="81"/>
        </w:numPr>
        <w:rPr>
          <w:sz w:val="22"/>
          <w:szCs w:val="22"/>
        </w:rPr>
      </w:pPr>
      <w:r w:rsidRPr="00956486">
        <w:rPr>
          <w:sz w:val="22"/>
          <w:szCs w:val="22"/>
        </w:rPr>
        <w:t>Digital sales growth driven by major foodservice providers and retail partners</w:t>
      </w:r>
    </w:p>
    <w:p w14:paraId="3EF74F68" w14:textId="77777777" w:rsidR="00F13BC0" w:rsidRPr="00956486" w:rsidRDefault="00F13BC0" w:rsidP="00127934">
      <w:pPr>
        <w:pStyle w:val="NormalWeb"/>
        <w:numPr>
          <w:ilvl w:val="0"/>
          <w:numId w:val="81"/>
        </w:numPr>
        <w:rPr>
          <w:sz w:val="22"/>
          <w:szCs w:val="22"/>
        </w:rPr>
      </w:pPr>
      <w:r w:rsidRPr="00956486">
        <w:rPr>
          <w:rStyle w:val="Strong"/>
          <w:rFonts w:eastAsiaTheme="majorEastAsia"/>
          <w:sz w:val="22"/>
          <w:szCs w:val="22"/>
        </w:rPr>
        <w:t>Europe</w:t>
      </w:r>
      <w:r w:rsidRPr="00956486">
        <w:rPr>
          <w:sz w:val="22"/>
          <w:szCs w:val="22"/>
        </w:rPr>
        <w:t>:</w:t>
      </w:r>
    </w:p>
    <w:p w14:paraId="30AE1D27" w14:textId="77777777" w:rsidR="00F13BC0" w:rsidRPr="00956486" w:rsidRDefault="00F13BC0" w:rsidP="00127934">
      <w:pPr>
        <w:pStyle w:val="NormalWeb"/>
        <w:numPr>
          <w:ilvl w:val="1"/>
          <w:numId w:val="81"/>
        </w:numPr>
        <w:rPr>
          <w:sz w:val="22"/>
          <w:szCs w:val="22"/>
        </w:rPr>
      </w:pPr>
      <w:r w:rsidRPr="00956486">
        <w:rPr>
          <w:sz w:val="22"/>
          <w:szCs w:val="22"/>
        </w:rPr>
        <w:t>EBITDA margin improved to 8.2% (from 7.4%)</w:t>
      </w:r>
    </w:p>
    <w:p w14:paraId="22A128E0" w14:textId="77777777" w:rsidR="00F13BC0" w:rsidRPr="00956486" w:rsidRDefault="00F13BC0" w:rsidP="00127934">
      <w:pPr>
        <w:pStyle w:val="NormalWeb"/>
        <w:numPr>
          <w:ilvl w:val="1"/>
          <w:numId w:val="81"/>
        </w:numPr>
        <w:rPr>
          <w:sz w:val="22"/>
          <w:szCs w:val="22"/>
        </w:rPr>
      </w:pPr>
      <w:r w:rsidRPr="00956486">
        <w:rPr>
          <w:sz w:val="22"/>
          <w:szCs w:val="22"/>
        </w:rPr>
        <w:t>Strong growth in branded retail (Fridge Raiders, Rollover), despite inflationary pressures</w:t>
      </w:r>
    </w:p>
    <w:p w14:paraId="1BA9ECB3" w14:textId="77777777" w:rsidR="00F13BC0" w:rsidRPr="00956486" w:rsidRDefault="00F13BC0" w:rsidP="00127934">
      <w:pPr>
        <w:pStyle w:val="NormalWeb"/>
        <w:numPr>
          <w:ilvl w:val="1"/>
          <w:numId w:val="81"/>
        </w:numPr>
        <w:rPr>
          <w:sz w:val="22"/>
          <w:szCs w:val="22"/>
        </w:rPr>
      </w:pPr>
      <w:proofErr w:type="gramStart"/>
      <w:r w:rsidRPr="00956486">
        <w:rPr>
          <w:sz w:val="22"/>
          <w:szCs w:val="22"/>
        </w:rPr>
        <w:t>Foodservice</w:t>
      </w:r>
      <w:proofErr w:type="gramEnd"/>
      <w:r w:rsidRPr="00956486">
        <w:rPr>
          <w:sz w:val="22"/>
          <w:szCs w:val="22"/>
        </w:rPr>
        <w:t xml:space="preserve"> challenged, but sales up 10% YoY via targeted channel expansion</w:t>
      </w:r>
    </w:p>
    <w:p w14:paraId="60EA41E7" w14:textId="77777777" w:rsidR="00F13BC0" w:rsidRPr="00956486" w:rsidRDefault="00F13BC0" w:rsidP="00127934">
      <w:pPr>
        <w:pStyle w:val="NormalWeb"/>
        <w:numPr>
          <w:ilvl w:val="1"/>
          <w:numId w:val="81"/>
        </w:numPr>
        <w:rPr>
          <w:sz w:val="22"/>
          <w:szCs w:val="22"/>
        </w:rPr>
      </w:pPr>
      <w:r w:rsidRPr="00956486">
        <w:rPr>
          <w:sz w:val="22"/>
          <w:szCs w:val="22"/>
        </w:rPr>
        <w:t>Margin expansion expected in H2 with seasonal strength and portfolio innovation</w:t>
      </w:r>
    </w:p>
    <w:p w14:paraId="15EF2193" w14:textId="77777777" w:rsidR="00F13BC0" w:rsidRPr="00956486" w:rsidRDefault="00F13BC0" w:rsidP="00127934">
      <w:pPr>
        <w:pStyle w:val="NormalWeb"/>
        <w:numPr>
          <w:ilvl w:val="0"/>
          <w:numId w:val="81"/>
        </w:numPr>
        <w:rPr>
          <w:sz w:val="22"/>
          <w:szCs w:val="22"/>
        </w:rPr>
      </w:pPr>
      <w:r w:rsidRPr="00956486">
        <w:rPr>
          <w:rStyle w:val="Strong"/>
          <w:rFonts w:eastAsiaTheme="majorEastAsia"/>
          <w:sz w:val="22"/>
          <w:szCs w:val="22"/>
        </w:rPr>
        <w:t>Mexico</w:t>
      </w:r>
      <w:r w:rsidRPr="00956486">
        <w:rPr>
          <w:sz w:val="22"/>
          <w:szCs w:val="22"/>
        </w:rPr>
        <w:t>:</w:t>
      </w:r>
    </w:p>
    <w:p w14:paraId="11E7B209" w14:textId="77777777" w:rsidR="00F13BC0" w:rsidRPr="00956486" w:rsidRDefault="00F13BC0" w:rsidP="00127934">
      <w:pPr>
        <w:pStyle w:val="NormalWeb"/>
        <w:numPr>
          <w:ilvl w:val="1"/>
          <w:numId w:val="81"/>
        </w:numPr>
        <w:rPr>
          <w:sz w:val="22"/>
          <w:szCs w:val="22"/>
        </w:rPr>
      </w:pPr>
      <w:r w:rsidRPr="00956486">
        <w:rPr>
          <w:sz w:val="22"/>
          <w:szCs w:val="22"/>
        </w:rPr>
        <w:t>Net revenue impacted by FX; EBITDA margin still solid at 16.3%</w:t>
      </w:r>
    </w:p>
    <w:p w14:paraId="00A5CE80" w14:textId="77777777" w:rsidR="00F13BC0" w:rsidRPr="00956486" w:rsidRDefault="00F13BC0" w:rsidP="00127934">
      <w:pPr>
        <w:pStyle w:val="NormalWeb"/>
        <w:numPr>
          <w:ilvl w:val="1"/>
          <w:numId w:val="81"/>
        </w:numPr>
        <w:rPr>
          <w:sz w:val="22"/>
          <w:szCs w:val="22"/>
        </w:rPr>
      </w:pPr>
      <w:r w:rsidRPr="00956486">
        <w:rPr>
          <w:sz w:val="22"/>
          <w:szCs w:val="22"/>
        </w:rPr>
        <w:t>Live market highly profitable due to reduced supply and strong pricing</w:t>
      </w:r>
    </w:p>
    <w:p w14:paraId="73EFC60F" w14:textId="77777777" w:rsidR="00F13BC0" w:rsidRPr="00956486" w:rsidRDefault="00F13BC0" w:rsidP="00127934">
      <w:pPr>
        <w:pStyle w:val="NormalWeb"/>
        <w:numPr>
          <w:ilvl w:val="1"/>
          <w:numId w:val="81"/>
        </w:numPr>
        <w:rPr>
          <w:sz w:val="22"/>
          <w:szCs w:val="22"/>
        </w:rPr>
      </w:pPr>
      <w:r w:rsidRPr="00956486">
        <w:rPr>
          <w:sz w:val="22"/>
          <w:szCs w:val="22"/>
        </w:rPr>
        <w:t xml:space="preserve">Ongoing expansions in Veracruz and Merida on track for </w:t>
      </w:r>
      <w:proofErr w:type="gramStart"/>
      <w:r w:rsidRPr="00956486">
        <w:rPr>
          <w:sz w:val="22"/>
          <w:szCs w:val="22"/>
        </w:rPr>
        <w:t>2026;</w:t>
      </w:r>
      <w:proofErr w:type="gramEnd"/>
      <w:r w:rsidRPr="00956486">
        <w:rPr>
          <w:sz w:val="22"/>
          <w:szCs w:val="22"/>
        </w:rPr>
        <w:t xml:space="preserve"> will boost capacity by 20%</w:t>
      </w:r>
    </w:p>
    <w:p w14:paraId="508E2B2E" w14:textId="77777777" w:rsidR="00F13BC0" w:rsidRPr="00956486" w:rsidRDefault="00F13BC0" w:rsidP="00127934">
      <w:pPr>
        <w:pStyle w:val="NormalWeb"/>
        <w:numPr>
          <w:ilvl w:val="0"/>
          <w:numId w:val="81"/>
        </w:numPr>
        <w:rPr>
          <w:sz w:val="22"/>
          <w:szCs w:val="22"/>
        </w:rPr>
      </w:pPr>
      <w:r w:rsidRPr="00956486">
        <w:rPr>
          <w:rStyle w:val="Strong"/>
          <w:rFonts w:eastAsiaTheme="majorEastAsia"/>
          <w:sz w:val="22"/>
          <w:szCs w:val="22"/>
        </w:rPr>
        <w:t>Outlook</w:t>
      </w:r>
      <w:r w:rsidRPr="00956486">
        <w:rPr>
          <w:sz w:val="22"/>
          <w:szCs w:val="22"/>
        </w:rPr>
        <w:t>:</w:t>
      </w:r>
    </w:p>
    <w:p w14:paraId="791B6125" w14:textId="77777777" w:rsidR="00F13BC0" w:rsidRPr="00956486" w:rsidRDefault="00F13BC0" w:rsidP="00127934">
      <w:pPr>
        <w:pStyle w:val="NormalWeb"/>
        <w:numPr>
          <w:ilvl w:val="1"/>
          <w:numId w:val="81"/>
        </w:numPr>
        <w:rPr>
          <w:sz w:val="22"/>
          <w:szCs w:val="22"/>
        </w:rPr>
      </w:pPr>
      <w:r w:rsidRPr="00956486">
        <w:rPr>
          <w:sz w:val="22"/>
          <w:szCs w:val="22"/>
        </w:rPr>
        <w:t>Chicken demand remains strong across retail and QSR</w:t>
      </w:r>
    </w:p>
    <w:p w14:paraId="2A6AB5B0" w14:textId="77777777" w:rsidR="00F13BC0" w:rsidRPr="00956486" w:rsidRDefault="00F13BC0" w:rsidP="00127934">
      <w:pPr>
        <w:pStyle w:val="NormalWeb"/>
        <w:numPr>
          <w:ilvl w:val="1"/>
          <w:numId w:val="81"/>
        </w:numPr>
        <w:rPr>
          <w:sz w:val="22"/>
          <w:szCs w:val="22"/>
        </w:rPr>
      </w:pPr>
      <w:r w:rsidRPr="00956486">
        <w:rPr>
          <w:sz w:val="22"/>
          <w:szCs w:val="22"/>
        </w:rPr>
        <w:t xml:space="preserve">Full-year </w:t>
      </w:r>
      <w:proofErr w:type="spellStart"/>
      <w:r w:rsidRPr="00956486">
        <w:rPr>
          <w:sz w:val="22"/>
          <w:szCs w:val="22"/>
        </w:rPr>
        <w:t>CapEx</w:t>
      </w:r>
      <w:proofErr w:type="spellEnd"/>
      <w:r w:rsidRPr="00956486">
        <w:rPr>
          <w:sz w:val="22"/>
          <w:szCs w:val="22"/>
        </w:rPr>
        <w:t xml:space="preserve"> expected at </w:t>
      </w:r>
      <w:r w:rsidRPr="00956486">
        <w:rPr>
          <w:rStyle w:val="Strong"/>
          <w:rFonts w:eastAsiaTheme="majorEastAsia"/>
          <w:sz w:val="22"/>
          <w:szCs w:val="22"/>
        </w:rPr>
        <w:t>$650–700 million</w:t>
      </w:r>
      <w:r w:rsidRPr="00956486">
        <w:rPr>
          <w:sz w:val="22"/>
          <w:szCs w:val="22"/>
        </w:rPr>
        <w:t>, with continued growth in retail, Prepared Foods, and international operations</w:t>
      </w:r>
    </w:p>
    <w:p w14:paraId="5AC8F47B" w14:textId="77777777" w:rsidR="00F13BC0" w:rsidRPr="00956486" w:rsidRDefault="00F13BC0" w:rsidP="00127934">
      <w:pPr>
        <w:pStyle w:val="NormalWeb"/>
        <w:numPr>
          <w:ilvl w:val="1"/>
          <w:numId w:val="81"/>
        </w:numPr>
        <w:rPr>
          <w:sz w:val="22"/>
          <w:szCs w:val="22"/>
        </w:rPr>
      </w:pPr>
      <w:r w:rsidRPr="00956486">
        <w:rPr>
          <w:sz w:val="22"/>
          <w:szCs w:val="22"/>
        </w:rPr>
        <w:t>Russellville plant’s conversion is a strategic step toward expanding NAE and Case Ready offerings in response to consumer trends</w:t>
      </w:r>
    </w:p>
    <w:p w14:paraId="417D011D" w14:textId="77777777" w:rsidR="00F13BC0" w:rsidRPr="00956486" w:rsidRDefault="00F13BC0" w:rsidP="00DE1918">
      <w:pPr>
        <w:rPr>
          <w:rFonts w:ascii="Calibri" w:eastAsia="Calibri" w:hAnsi="Calibri" w:cs="Calibri"/>
        </w:rPr>
      </w:pPr>
    </w:p>
    <w:p w14:paraId="2F7BD5BA" w14:textId="4A86EF23" w:rsidR="00DE1918" w:rsidRPr="00BC0D8E" w:rsidRDefault="00DE1918" w:rsidP="2535092B">
      <w:pPr>
        <w:rPr>
          <w:rFonts w:ascii="Times New Roman" w:hAnsi="Times New Roman" w:cs="Times New Roman"/>
          <w:b/>
          <w:bCs/>
        </w:rPr>
      </w:pPr>
      <w:r>
        <w:br/>
      </w:r>
    </w:p>
    <w:p w14:paraId="1B4DE9DB" w14:textId="77777777" w:rsidR="008B733A" w:rsidRPr="00BC0D8E" w:rsidRDefault="34354836" w:rsidP="005757E2">
      <w:pPr>
        <w:pStyle w:val="Heading2"/>
        <w:rPr>
          <w:rFonts w:cs="Times New Roman"/>
        </w:rPr>
      </w:pPr>
      <w:bookmarkStart w:id="111" w:name="_Toc147824691"/>
      <w:bookmarkStart w:id="112" w:name="_Toc212796779"/>
      <w:r w:rsidRPr="2535092B">
        <w:rPr>
          <w:rFonts w:cs="Times New Roman"/>
        </w:rPr>
        <w:t>PPG Industries, Inc. (</w:t>
      </w:r>
      <w:proofErr w:type="gramStart"/>
      <w:r w:rsidRPr="2535092B">
        <w:rPr>
          <w:rFonts w:cs="Times New Roman"/>
        </w:rPr>
        <w:t>NYSE:PPG</w:t>
      </w:r>
      <w:proofErr w:type="gramEnd"/>
      <w:r w:rsidRPr="2535092B">
        <w:rPr>
          <w:rFonts w:cs="Times New Roman"/>
        </w:rPr>
        <w:t>)</w:t>
      </w:r>
      <w:bookmarkEnd w:id="111"/>
      <w:bookmarkEnd w:id="112"/>
      <w:r w:rsidR="008B733A">
        <w:tab/>
      </w:r>
    </w:p>
    <w:p w14:paraId="17114636" w14:textId="33AD7C8E" w:rsidR="008B733A" w:rsidRPr="00BC0D8E" w:rsidRDefault="02FFA956" w:rsidP="2EEB26EF">
      <w:pPr>
        <w:pStyle w:val="Heading3"/>
        <w:rPr>
          <w:rFonts w:cs="Times New Roman"/>
        </w:rPr>
      </w:pPr>
      <w:bookmarkStart w:id="113" w:name="_Toc147824692"/>
      <w:bookmarkStart w:id="114" w:name="_Toc212796780"/>
      <w:r w:rsidRPr="2EEB26EF">
        <w:rPr>
          <w:rFonts w:cs="Times New Roman"/>
        </w:rPr>
        <w:t xml:space="preserve">Outlook: </w:t>
      </w:r>
      <w:r w:rsidR="6BE6FE87" w:rsidRPr="2EEB26EF">
        <w:rPr>
          <w:rFonts w:cs="Times New Roman"/>
          <w:color w:val="00B050"/>
        </w:rPr>
        <w:t>Positive</w:t>
      </w:r>
      <w:bookmarkEnd w:id="113"/>
      <w:bookmarkEnd w:id="114"/>
    </w:p>
    <w:p w14:paraId="0CBF3C51" w14:textId="78C59AD7" w:rsidR="008B733A" w:rsidRPr="00BC0D8E" w:rsidRDefault="02FFA956" w:rsidP="2EEB26EF">
      <w:pPr>
        <w:pStyle w:val="Heading3"/>
        <w:rPr>
          <w:rFonts w:cs="Times New Roman"/>
        </w:rPr>
      </w:pPr>
      <w:bookmarkStart w:id="115" w:name="_Toc147824693"/>
      <w:bookmarkStart w:id="116" w:name="_Toc212796781"/>
      <w:r w:rsidRPr="2EEB26EF">
        <w:rPr>
          <w:rFonts w:cs="Times New Roman"/>
        </w:rPr>
        <w:t xml:space="preserve">AL Outlook: </w:t>
      </w:r>
      <w:r w:rsidR="09ED0C4B" w:rsidRPr="2EEB26EF">
        <w:rPr>
          <w:rFonts w:cs="Times New Roman"/>
          <w:color w:val="00B050"/>
        </w:rPr>
        <w:t>Positive</w:t>
      </w:r>
      <w:bookmarkEnd w:id="115"/>
      <w:bookmarkEnd w:id="116"/>
    </w:p>
    <w:p w14:paraId="371D91CA" w14:textId="176534E7" w:rsidR="008B733A" w:rsidRPr="00BC0D8E" w:rsidRDefault="02FFA956" w:rsidP="2535092B">
      <w:r w:rsidRPr="2EEB26EF">
        <w:rPr>
          <w:rFonts w:ascii="Times New Roman" w:hAnsi="Times New Roman" w:cs="Times New Roman"/>
          <w:b/>
          <w:bCs/>
        </w:rPr>
        <w:t>Recommended Action:</w:t>
      </w:r>
      <w:r w:rsidRPr="2EEB26EF">
        <w:rPr>
          <w:rFonts w:ascii="Times New Roman" w:hAnsi="Times New Roman" w:cs="Times New Roman"/>
        </w:rPr>
        <w:t xml:space="preserve"> </w:t>
      </w:r>
      <w:commentRangeStart w:id="117"/>
      <w:r w:rsidR="2358B7F0" w:rsidRPr="0227D82F">
        <w:rPr>
          <w:rFonts w:ascii="Times New Roman" w:hAnsi="Times New Roman" w:cs="Times New Roman"/>
        </w:rPr>
        <w:t>N/A</w:t>
      </w:r>
      <w:r>
        <w:br/>
      </w:r>
      <w:commentRangeEnd w:id="117"/>
      <w:r>
        <w:rPr>
          <w:rStyle w:val="CommentReference"/>
        </w:rPr>
        <w:commentReference w:id="117"/>
      </w:r>
      <w:r w:rsidR="02D8AC93">
        <w:br/>
      </w:r>
      <w:r w:rsidR="6D85ED81" w:rsidRPr="2EEB26EF">
        <w:rPr>
          <w:rFonts w:ascii="Times New Roman" w:eastAsia="Times New Roman" w:hAnsi="Times New Roman" w:cs="Times New Roman"/>
          <w:b/>
          <w:bCs/>
        </w:rPr>
        <w:t>Alabama Location(s)</w:t>
      </w:r>
      <w:r w:rsidR="468E3D68" w:rsidRPr="2EEB26EF">
        <w:rPr>
          <w:rFonts w:ascii="Times New Roman" w:eastAsia="Times New Roman" w:hAnsi="Times New Roman" w:cs="Times New Roman"/>
          <w:b/>
          <w:bCs/>
        </w:rPr>
        <w:t>: Huntsville: Aerospace manufacturing facility</w:t>
      </w:r>
    </w:p>
    <w:p w14:paraId="5B929F29" w14:textId="77777777" w:rsidR="00FF1334" w:rsidRPr="00956486" w:rsidRDefault="00FF1334" w:rsidP="00FF1334">
      <w:pPr>
        <w:pStyle w:val="NormalWeb"/>
        <w:rPr>
          <w:sz w:val="22"/>
          <w:szCs w:val="22"/>
        </w:rPr>
      </w:pPr>
      <w:r w:rsidRPr="00956486">
        <w:rPr>
          <w:rStyle w:val="Strong"/>
          <w:rFonts w:eastAsiaTheme="majorEastAsia"/>
          <w:sz w:val="22"/>
          <w:szCs w:val="22"/>
        </w:rPr>
        <w:t>Key Takeaways</w:t>
      </w:r>
    </w:p>
    <w:p w14:paraId="22F0C6AE" w14:textId="77777777" w:rsidR="00FF1334" w:rsidRPr="00956486" w:rsidRDefault="00FF1334" w:rsidP="00127934">
      <w:pPr>
        <w:pStyle w:val="NormalWeb"/>
        <w:numPr>
          <w:ilvl w:val="0"/>
          <w:numId w:val="82"/>
        </w:numPr>
        <w:rPr>
          <w:sz w:val="22"/>
          <w:szCs w:val="22"/>
        </w:rPr>
      </w:pPr>
      <w:r w:rsidRPr="00956486">
        <w:rPr>
          <w:sz w:val="22"/>
          <w:szCs w:val="22"/>
        </w:rPr>
        <w:lastRenderedPageBreak/>
        <w:t xml:space="preserve">PPG delivered </w:t>
      </w:r>
      <w:r w:rsidRPr="00956486">
        <w:rPr>
          <w:rStyle w:val="Strong"/>
          <w:rFonts w:eastAsiaTheme="majorEastAsia"/>
          <w:sz w:val="22"/>
          <w:szCs w:val="22"/>
        </w:rPr>
        <w:t>solid Q2 results</w:t>
      </w:r>
      <w:r w:rsidRPr="00956486">
        <w:rPr>
          <w:sz w:val="22"/>
          <w:szCs w:val="22"/>
        </w:rPr>
        <w:t xml:space="preserve">, with </w:t>
      </w:r>
      <w:r w:rsidRPr="00956486">
        <w:rPr>
          <w:rStyle w:val="Strong"/>
          <w:rFonts w:eastAsiaTheme="majorEastAsia"/>
          <w:sz w:val="22"/>
          <w:szCs w:val="22"/>
        </w:rPr>
        <w:t>revenue of $4.2 billion</w:t>
      </w:r>
      <w:r w:rsidRPr="00956486">
        <w:rPr>
          <w:sz w:val="22"/>
          <w:szCs w:val="22"/>
        </w:rPr>
        <w:t xml:space="preserve"> and </w:t>
      </w:r>
      <w:r w:rsidRPr="00956486">
        <w:rPr>
          <w:rStyle w:val="Strong"/>
          <w:rFonts w:eastAsiaTheme="majorEastAsia"/>
          <w:sz w:val="22"/>
          <w:szCs w:val="22"/>
        </w:rPr>
        <w:t>adjusted EPS of $2.22</w:t>
      </w:r>
      <w:r w:rsidRPr="00956486">
        <w:rPr>
          <w:sz w:val="22"/>
          <w:szCs w:val="22"/>
        </w:rPr>
        <w:t>, meeting expectations.</w:t>
      </w:r>
    </w:p>
    <w:p w14:paraId="0A02D270" w14:textId="77777777" w:rsidR="00FF1334" w:rsidRPr="00956486" w:rsidRDefault="00FF1334" w:rsidP="00127934">
      <w:pPr>
        <w:pStyle w:val="NormalWeb"/>
        <w:numPr>
          <w:ilvl w:val="0"/>
          <w:numId w:val="82"/>
        </w:numPr>
        <w:rPr>
          <w:sz w:val="22"/>
          <w:szCs w:val="22"/>
        </w:rPr>
      </w:pPr>
      <w:r w:rsidRPr="00956486">
        <w:rPr>
          <w:rStyle w:val="Strong"/>
          <w:rFonts w:eastAsiaTheme="majorEastAsia"/>
          <w:sz w:val="22"/>
          <w:szCs w:val="22"/>
        </w:rPr>
        <w:t>Performance Coatings</w:t>
      </w:r>
      <w:r w:rsidRPr="00956486">
        <w:rPr>
          <w:sz w:val="22"/>
          <w:szCs w:val="22"/>
        </w:rPr>
        <w:t xml:space="preserve"> segment was a standout, with strong organic growth across Aerospace, Protective &amp; Marine, and Packaging Coatings.</w:t>
      </w:r>
    </w:p>
    <w:p w14:paraId="294FC245" w14:textId="4ED6AFB6" w:rsidR="00FF1334" w:rsidRPr="00956486" w:rsidRDefault="00FF1334" w:rsidP="00127934">
      <w:pPr>
        <w:pStyle w:val="NormalWeb"/>
        <w:numPr>
          <w:ilvl w:val="0"/>
          <w:numId w:val="82"/>
        </w:numPr>
        <w:rPr>
          <w:sz w:val="22"/>
          <w:szCs w:val="22"/>
        </w:rPr>
      </w:pPr>
      <w:r w:rsidRPr="00956486">
        <w:rPr>
          <w:sz w:val="22"/>
          <w:szCs w:val="22"/>
        </w:rPr>
        <w:t xml:space="preserve">Aerospace Coatings business delivered </w:t>
      </w:r>
      <w:r w:rsidRPr="00956486">
        <w:rPr>
          <w:rStyle w:val="Strong"/>
          <w:rFonts w:eastAsiaTheme="majorEastAsia"/>
          <w:sz w:val="22"/>
          <w:szCs w:val="22"/>
        </w:rPr>
        <w:t>record quarterly sales and earnings</w:t>
      </w:r>
      <w:r w:rsidRPr="00956486">
        <w:rPr>
          <w:sz w:val="22"/>
          <w:szCs w:val="22"/>
        </w:rPr>
        <w:t xml:space="preserve">, aided by continued debottlenecking and </w:t>
      </w:r>
      <w:proofErr w:type="spellStart"/>
      <w:r w:rsidRPr="00956486">
        <w:rPr>
          <w:sz w:val="22"/>
          <w:szCs w:val="22"/>
        </w:rPr>
        <w:t>CapEx</w:t>
      </w:r>
      <w:proofErr w:type="spellEnd"/>
      <w:r w:rsidRPr="00956486">
        <w:rPr>
          <w:sz w:val="22"/>
          <w:szCs w:val="22"/>
        </w:rPr>
        <w:t xml:space="preserve"> </w:t>
      </w:r>
      <w:proofErr w:type="gramStart"/>
      <w:r w:rsidRPr="00956486">
        <w:rPr>
          <w:sz w:val="22"/>
          <w:szCs w:val="22"/>
        </w:rPr>
        <w:t>investments—</w:t>
      </w:r>
      <w:proofErr w:type="gramEnd"/>
      <w:r w:rsidRPr="00956486">
        <w:rPr>
          <w:sz w:val="22"/>
          <w:szCs w:val="22"/>
        </w:rPr>
        <w:t xml:space="preserve">including a new $380 million aerospace plant </w:t>
      </w:r>
      <w:proofErr w:type="gramStart"/>
      <w:r w:rsidR="00DD30F2">
        <w:rPr>
          <w:sz w:val="22"/>
          <w:szCs w:val="22"/>
        </w:rPr>
        <w:t>to be built</w:t>
      </w:r>
      <w:proofErr w:type="gramEnd"/>
      <w:r w:rsidR="00DD30F2">
        <w:rPr>
          <w:sz w:val="22"/>
          <w:szCs w:val="22"/>
        </w:rPr>
        <w:t xml:space="preserve"> </w:t>
      </w:r>
      <w:r w:rsidRPr="00956486">
        <w:rPr>
          <w:sz w:val="22"/>
          <w:szCs w:val="22"/>
        </w:rPr>
        <w:t xml:space="preserve">in </w:t>
      </w:r>
      <w:r w:rsidR="00DD30F2">
        <w:rPr>
          <w:sz w:val="22"/>
          <w:szCs w:val="22"/>
        </w:rPr>
        <w:t>Shelby, NC</w:t>
      </w:r>
      <w:r w:rsidRPr="00956486">
        <w:rPr>
          <w:sz w:val="22"/>
          <w:szCs w:val="22"/>
        </w:rPr>
        <w:t>.</w:t>
      </w:r>
    </w:p>
    <w:p w14:paraId="73DC91A7" w14:textId="77777777" w:rsidR="00FF1334" w:rsidRPr="00956486" w:rsidRDefault="00FF1334" w:rsidP="00127934">
      <w:pPr>
        <w:pStyle w:val="NormalWeb"/>
        <w:numPr>
          <w:ilvl w:val="0"/>
          <w:numId w:val="82"/>
        </w:numPr>
        <w:rPr>
          <w:sz w:val="22"/>
          <w:szCs w:val="22"/>
        </w:rPr>
      </w:pPr>
      <w:r w:rsidRPr="00956486">
        <w:rPr>
          <w:sz w:val="22"/>
          <w:szCs w:val="22"/>
        </w:rPr>
        <w:t>Segment share gains in Automotive OEM, Packaging Coatings, and Industrial Coatings are expected to accelerate in H2 2025.</w:t>
      </w:r>
    </w:p>
    <w:p w14:paraId="6FCCA389" w14:textId="77777777" w:rsidR="00FF1334" w:rsidRPr="00956486" w:rsidRDefault="00FF1334" w:rsidP="00127934">
      <w:pPr>
        <w:pStyle w:val="NormalWeb"/>
        <w:numPr>
          <w:ilvl w:val="0"/>
          <w:numId w:val="82"/>
        </w:numPr>
        <w:rPr>
          <w:sz w:val="22"/>
          <w:szCs w:val="22"/>
        </w:rPr>
      </w:pPr>
      <w:r w:rsidRPr="00956486">
        <w:rPr>
          <w:sz w:val="22"/>
          <w:szCs w:val="22"/>
        </w:rPr>
        <w:t xml:space="preserve">Despite soft demand in Europe and Asia, </w:t>
      </w:r>
      <w:r w:rsidRPr="00956486">
        <w:rPr>
          <w:rStyle w:val="Strong"/>
          <w:rFonts w:eastAsiaTheme="majorEastAsia"/>
          <w:sz w:val="22"/>
          <w:szCs w:val="22"/>
        </w:rPr>
        <w:t>U.S. operations remained resilient</w:t>
      </w:r>
      <w:r w:rsidRPr="00956486">
        <w:rPr>
          <w:sz w:val="22"/>
          <w:szCs w:val="22"/>
        </w:rPr>
        <w:t>, with PPG outperforming industry trends.</w:t>
      </w:r>
    </w:p>
    <w:p w14:paraId="18AA9FF4" w14:textId="77777777" w:rsidR="00FF1334" w:rsidRPr="00956486" w:rsidRDefault="00FF1334" w:rsidP="00127934">
      <w:pPr>
        <w:pStyle w:val="NormalWeb"/>
        <w:numPr>
          <w:ilvl w:val="0"/>
          <w:numId w:val="82"/>
        </w:numPr>
        <w:rPr>
          <w:sz w:val="22"/>
          <w:szCs w:val="22"/>
        </w:rPr>
      </w:pPr>
      <w:r w:rsidRPr="00956486">
        <w:rPr>
          <w:sz w:val="22"/>
          <w:szCs w:val="22"/>
        </w:rPr>
        <w:t xml:space="preserve">The company is reiterating its full-year EPS guidance of </w:t>
      </w:r>
      <w:r w:rsidRPr="00956486">
        <w:rPr>
          <w:rStyle w:val="Strong"/>
          <w:rFonts w:eastAsiaTheme="majorEastAsia"/>
          <w:sz w:val="22"/>
          <w:szCs w:val="22"/>
        </w:rPr>
        <w:t>$7.75–$8.05</w:t>
      </w:r>
      <w:r w:rsidRPr="00956486">
        <w:rPr>
          <w:sz w:val="22"/>
          <w:szCs w:val="22"/>
        </w:rPr>
        <w:t xml:space="preserve">, with </w:t>
      </w:r>
      <w:r w:rsidRPr="00956486">
        <w:rPr>
          <w:rStyle w:val="Strong"/>
          <w:rFonts w:eastAsiaTheme="majorEastAsia"/>
          <w:sz w:val="22"/>
          <w:szCs w:val="22"/>
        </w:rPr>
        <w:t>volume growth</w:t>
      </w:r>
      <w:r w:rsidRPr="00956486">
        <w:rPr>
          <w:sz w:val="22"/>
          <w:szCs w:val="22"/>
        </w:rPr>
        <w:t xml:space="preserve"> and </w:t>
      </w:r>
      <w:r w:rsidRPr="00956486">
        <w:rPr>
          <w:rStyle w:val="Strong"/>
          <w:rFonts w:eastAsiaTheme="majorEastAsia"/>
          <w:sz w:val="22"/>
          <w:szCs w:val="22"/>
        </w:rPr>
        <w:t>self-help cost actions</w:t>
      </w:r>
      <w:r w:rsidRPr="00956486">
        <w:rPr>
          <w:sz w:val="22"/>
          <w:szCs w:val="22"/>
        </w:rPr>
        <w:t xml:space="preserve"> expected to drive margin expansion in H2.</w:t>
      </w:r>
    </w:p>
    <w:p w14:paraId="64C71DBE" w14:textId="77777777" w:rsidR="00FF1334" w:rsidRPr="00956486" w:rsidRDefault="00FF1334" w:rsidP="00FF1334">
      <w:pPr>
        <w:pStyle w:val="NormalWeb"/>
        <w:rPr>
          <w:sz w:val="22"/>
          <w:szCs w:val="22"/>
        </w:rPr>
      </w:pPr>
      <w:r w:rsidRPr="00956486">
        <w:rPr>
          <w:rStyle w:val="Strong"/>
          <w:rFonts w:eastAsiaTheme="majorEastAsia"/>
          <w:sz w:val="22"/>
          <w:szCs w:val="22"/>
        </w:rPr>
        <w:t>Financial Highlights</w:t>
      </w:r>
    </w:p>
    <w:p w14:paraId="45CCF484" w14:textId="77777777" w:rsidR="00FF1334" w:rsidRPr="00956486" w:rsidRDefault="00FF1334" w:rsidP="00127934">
      <w:pPr>
        <w:pStyle w:val="NormalWeb"/>
        <w:numPr>
          <w:ilvl w:val="0"/>
          <w:numId w:val="83"/>
        </w:numPr>
        <w:rPr>
          <w:sz w:val="22"/>
          <w:szCs w:val="22"/>
        </w:rPr>
      </w:pPr>
      <w:r w:rsidRPr="00956486">
        <w:rPr>
          <w:rStyle w:val="Strong"/>
          <w:rFonts w:eastAsiaTheme="majorEastAsia"/>
          <w:sz w:val="22"/>
          <w:szCs w:val="22"/>
        </w:rPr>
        <w:t>Revenue</w:t>
      </w:r>
      <w:r w:rsidRPr="00956486">
        <w:rPr>
          <w:sz w:val="22"/>
          <w:szCs w:val="22"/>
        </w:rPr>
        <w:t>: $4.20 billion (+0.9% vs. consensus; +2% organic YoY)</w:t>
      </w:r>
    </w:p>
    <w:p w14:paraId="62CD3468" w14:textId="77777777" w:rsidR="00FF1334" w:rsidRPr="00956486" w:rsidRDefault="00FF1334" w:rsidP="00127934">
      <w:pPr>
        <w:pStyle w:val="NormalWeb"/>
        <w:numPr>
          <w:ilvl w:val="0"/>
          <w:numId w:val="83"/>
        </w:numPr>
        <w:rPr>
          <w:sz w:val="22"/>
          <w:szCs w:val="22"/>
        </w:rPr>
      </w:pPr>
      <w:r w:rsidRPr="00956486">
        <w:rPr>
          <w:rStyle w:val="Strong"/>
          <w:rFonts w:eastAsiaTheme="majorEastAsia"/>
          <w:sz w:val="22"/>
          <w:szCs w:val="22"/>
        </w:rPr>
        <w:t>Adjusted EPS</w:t>
      </w:r>
      <w:r w:rsidRPr="00956486">
        <w:rPr>
          <w:sz w:val="22"/>
          <w:szCs w:val="22"/>
        </w:rPr>
        <w:t>: $2.22 (flat YoY; in line with consensus)</w:t>
      </w:r>
    </w:p>
    <w:p w14:paraId="75606C6B" w14:textId="77777777" w:rsidR="00FF1334" w:rsidRPr="00956486" w:rsidRDefault="00FF1334" w:rsidP="00127934">
      <w:pPr>
        <w:pStyle w:val="NormalWeb"/>
        <w:numPr>
          <w:ilvl w:val="0"/>
          <w:numId w:val="83"/>
        </w:numPr>
        <w:rPr>
          <w:sz w:val="22"/>
          <w:szCs w:val="22"/>
        </w:rPr>
      </w:pPr>
      <w:r w:rsidRPr="00956486">
        <w:rPr>
          <w:rStyle w:val="Strong"/>
          <w:rFonts w:eastAsiaTheme="majorEastAsia"/>
          <w:sz w:val="22"/>
          <w:szCs w:val="22"/>
        </w:rPr>
        <w:t>Segment EBITDA margin</w:t>
      </w:r>
      <w:r w:rsidRPr="00956486">
        <w:rPr>
          <w:sz w:val="22"/>
          <w:szCs w:val="22"/>
        </w:rPr>
        <w:t>: 20.3%</w:t>
      </w:r>
    </w:p>
    <w:p w14:paraId="0F2C41A1" w14:textId="77777777" w:rsidR="00FF1334" w:rsidRPr="00956486" w:rsidRDefault="00FF1334" w:rsidP="00127934">
      <w:pPr>
        <w:pStyle w:val="NormalWeb"/>
        <w:numPr>
          <w:ilvl w:val="0"/>
          <w:numId w:val="83"/>
        </w:numPr>
        <w:rPr>
          <w:sz w:val="22"/>
          <w:szCs w:val="22"/>
        </w:rPr>
      </w:pPr>
      <w:r w:rsidRPr="00956486">
        <w:rPr>
          <w:rStyle w:val="Strong"/>
          <w:rFonts w:eastAsiaTheme="majorEastAsia"/>
          <w:sz w:val="22"/>
          <w:szCs w:val="22"/>
        </w:rPr>
        <w:t>Cash flow from operations</w:t>
      </w:r>
      <w:r w:rsidRPr="00956486">
        <w:rPr>
          <w:sz w:val="22"/>
          <w:szCs w:val="22"/>
        </w:rPr>
        <w:t xml:space="preserve">: $370 million in H1; </w:t>
      </w:r>
      <w:proofErr w:type="gramStart"/>
      <w:r w:rsidRPr="00956486">
        <w:rPr>
          <w:sz w:val="22"/>
          <w:szCs w:val="22"/>
        </w:rPr>
        <w:t>full-year</w:t>
      </w:r>
      <w:proofErr w:type="gramEnd"/>
      <w:r w:rsidRPr="00956486">
        <w:rPr>
          <w:sz w:val="22"/>
          <w:szCs w:val="22"/>
        </w:rPr>
        <w:t xml:space="preserve"> expected to exceed 2024 levels</w:t>
      </w:r>
    </w:p>
    <w:p w14:paraId="2FDE8199" w14:textId="77777777" w:rsidR="00FF1334" w:rsidRPr="00956486" w:rsidRDefault="00FF1334" w:rsidP="00127934">
      <w:pPr>
        <w:pStyle w:val="NormalWeb"/>
        <w:numPr>
          <w:ilvl w:val="0"/>
          <w:numId w:val="83"/>
        </w:numPr>
        <w:rPr>
          <w:sz w:val="22"/>
          <w:szCs w:val="22"/>
        </w:rPr>
      </w:pPr>
      <w:r w:rsidRPr="00956486">
        <w:rPr>
          <w:rStyle w:val="Strong"/>
          <w:rFonts w:eastAsiaTheme="majorEastAsia"/>
          <w:sz w:val="22"/>
          <w:szCs w:val="22"/>
        </w:rPr>
        <w:t>Share repurchases</w:t>
      </w:r>
      <w:r w:rsidRPr="00956486">
        <w:rPr>
          <w:sz w:val="22"/>
          <w:szCs w:val="22"/>
        </w:rPr>
        <w:t>: $150 million in Q2; $540 million YTD</w:t>
      </w:r>
    </w:p>
    <w:p w14:paraId="061EA8B2" w14:textId="77777777" w:rsidR="00FF1334" w:rsidRPr="00956486" w:rsidRDefault="00FF1334" w:rsidP="00127934">
      <w:pPr>
        <w:pStyle w:val="NormalWeb"/>
        <w:numPr>
          <w:ilvl w:val="0"/>
          <w:numId w:val="83"/>
        </w:numPr>
        <w:rPr>
          <w:sz w:val="22"/>
          <w:szCs w:val="22"/>
        </w:rPr>
      </w:pPr>
      <w:r w:rsidRPr="00956486">
        <w:rPr>
          <w:rStyle w:val="Strong"/>
          <w:rFonts w:eastAsiaTheme="majorEastAsia"/>
          <w:sz w:val="22"/>
          <w:szCs w:val="22"/>
        </w:rPr>
        <w:t>Dividend</w:t>
      </w:r>
      <w:r w:rsidRPr="00956486">
        <w:rPr>
          <w:sz w:val="22"/>
          <w:szCs w:val="22"/>
        </w:rPr>
        <w:t>: Quarterly dividend increased by 4% in July 2025</w:t>
      </w:r>
    </w:p>
    <w:p w14:paraId="613A6D88" w14:textId="77777777" w:rsidR="00FF1334" w:rsidRPr="00956486" w:rsidRDefault="00FF1334" w:rsidP="00FF1334">
      <w:pPr>
        <w:pStyle w:val="NormalWeb"/>
        <w:rPr>
          <w:sz w:val="22"/>
          <w:szCs w:val="22"/>
        </w:rPr>
      </w:pPr>
      <w:r w:rsidRPr="00956486">
        <w:rPr>
          <w:rStyle w:val="Strong"/>
          <w:rFonts w:eastAsiaTheme="majorEastAsia"/>
          <w:sz w:val="22"/>
          <w:szCs w:val="22"/>
        </w:rPr>
        <w:t>Operational Highlights</w:t>
      </w:r>
    </w:p>
    <w:p w14:paraId="1988F571" w14:textId="77777777" w:rsidR="00FF1334" w:rsidRPr="00956486" w:rsidRDefault="00FF1334" w:rsidP="00127934">
      <w:pPr>
        <w:pStyle w:val="NormalWeb"/>
        <w:numPr>
          <w:ilvl w:val="0"/>
          <w:numId w:val="84"/>
        </w:numPr>
        <w:rPr>
          <w:sz w:val="22"/>
          <w:szCs w:val="22"/>
        </w:rPr>
      </w:pPr>
      <w:r w:rsidRPr="00956486">
        <w:rPr>
          <w:rStyle w:val="Strong"/>
          <w:rFonts w:eastAsiaTheme="majorEastAsia"/>
          <w:sz w:val="22"/>
          <w:szCs w:val="22"/>
        </w:rPr>
        <w:t>Aerospace Coatings</w:t>
      </w:r>
      <w:r w:rsidRPr="00956486">
        <w:rPr>
          <w:sz w:val="22"/>
          <w:szCs w:val="22"/>
        </w:rPr>
        <w:t xml:space="preserve">: Delivered </w:t>
      </w:r>
      <w:r w:rsidRPr="00956486">
        <w:rPr>
          <w:rStyle w:val="Strong"/>
          <w:rFonts w:eastAsiaTheme="majorEastAsia"/>
          <w:sz w:val="22"/>
          <w:szCs w:val="22"/>
        </w:rPr>
        <w:t>high-single-digit organic sales growth</w:t>
      </w:r>
      <w:r w:rsidRPr="00956486">
        <w:rPr>
          <w:sz w:val="22"/>
          <w:szCs w:val="22"/>
        </w:rPr>
        <w:t>, with record earnings and growing backlogs (~$300 million)</w:t>
      </w:r>
    </w:p>
    <w:p w14:paraId="363CAD45" w14:textId="77777777" w:rsidR="00FF1334" w:rsidRPr="00956486" w:rsidRDefault="00FF1334" w:rsidP="00127934">
      <w:pPr>
        <w:pStyle w:val="NormalWeb"/>
        <w:numPr>
          <w:ilvl w:val="1"/>
          <w:numId w:val="84"/>
        </w:numPr>
        <w:rPr>
          <w:sz w:val="22"/>
          <w:szCs w:val="22"/>
        </w:rPr>
      </w:pPr>
      <w:r w:rsidRPr="00956486">
        <w:rPr>
          <w:sz w:val="22"/>
          <w:szCs w:val="22"/>
        </w:rPr>
        <w:t>Strong demand across military, general aviation, and commercial</w:t>
      </w:r>
    </w:p>
    <w:p w14:paraId="50CFF2E7" w14:textId="77777777" w:rsidR="00FF1334" w:rsidRPr="00956486" w:rsidRDefault="00FF1334" w:rsidP="00127934">
      <w:pPr>
        <w:pStyle w:val="NormalWeb"/>
        <w:numPr>
          <w:ilvl w:val="1"/>
          <w:numId w:val="84"/>
        </w:numPr>
        <w:rPr>
          <w:sz w:val="22"/>
          <w:szCs w:val="22"/>
        </w:rPr>
      </w:pPr>
      <w:r w:rsidRPr="00956486">
        <w:rPr>
          <w:sz w:val="22"/>
          <w:szCs w:val="22"/>
        </w:rPr>
        <w:t>Debottlenecking initiatives enabled increased output and better service</w:t>
      </w:r>
    </w:p>
    <w:p w14:paraId="54A662A8" w14:textId="77777777" w:rsidR="00FF1334" w:rsidRPr="00956486" w:rsidRDefault="00FF1334" w:rsidP="00127934">
      <w:pPr>
        <w:pStyle w:val="NormalWeb"/>
        <w:numPr>
          <w:ilvl w:val="1"/>
          <w:numId w:val="84"/>
        </w:numPr>
        <w:rPr>
          <w:sz w:val="22"/>
          <w:szCs w:val="22"/>
        </w:rPr>
      </w:pPr>
      <w:r w:rsidRPr="00956486">
        <w:rPr>
          <w:sz w:val="22"/>
          <w:szCs w:val="22"/>
        </w:rPr>
        <w:t>PPG expects high single-digit to low double-digit growth in Aerospace to continue through 2026</w:t>
      </w:r>
    </w:p>
    <w:p w14:paraId="0E239F9A" w14:textId="77777777" w:rsidR="00FF1334" w:rsidRPr="00956486" w:rsidRDefault="00FF1334" w:rsidP="00127934">
      <w:pPr>
        <w:pStyle w:val="NormalWeb"/>
        <w:numPr>
          <w:ilvl w:val="0"/>
          <w:numId w:val="84"/>
        </w:numPr>
        <w:rPr>
          <w:sz w:val="22"/>
          <w:szCs w:val="22"/>
        </w:rPr>
      </w:pPr>
      <w:r w:rsidRPr="00956486">
        <w:rPr>
          <w:rStyle w:val="Strong"/>
          <w:rFonts w:eastAsiaTheme="majorEastAsia"/>
          <w:sz w:val="22"/>
          <w:szCs w:val="22"/>
        </w:rPr>
        <w:t>Protective &amp; Marine Coatings</w:t>
      </w:r>
      <w:r w:rsidRPr="00956486">
        <w:rPr>
          <w:sz w:val="22"/>
          <w:szCs w:val="22"/>
        </w:rPr>
        <w:t>: 9th consecutive quarter of YoY growth, aided by strong demand and share gains in fire protection and dry dock markets</w:t>
      </w:r>
    </w:p>
    <w:p w14:paraId="07AE7EE3" w14:textId="77777777" w:rsidR="00FF1334" w:rsidRPr="00956486" w:rsidRDefault="00FF1334" w:rsidP="00127934">
      <w:pPr>
        <w:pStyle w:val="NormalWeb"/>
        <w:numPr>
          <w:ilvl w:val="0"/>
          <w:numId w:val="84"/>
        </w:numPr>
        <w:rPr>
          <w:sz w:val="22"/>
          <w:szCs w:val="22"/>
        </w:rPr>
      </w:pPr>
      <w:r w:rsidRPr="00956486">
        <w:rPr>
          <w:rStyle w:val="Strong"/>
          <w:rFonts w:eastAsiaTheme="majorEastAsia"/>
          <w:sz w:val="22"/>
          <w:szCs w:val="22"/>
        </w:rPr>
        <w:t>Packaging Coatings</w:t>
      </w:r>
      <w:r w:rsidRPr="00956486">
        <w:rPr>
          <w:sz w:val="22"/>
          <w:szCs w:val="22"/>
        </w:rPr>
        <w:t xml:space="preserve">: High single-digit organic growth; demand driven by </w:t>
      </w:r>
      <w:r w:rsidRPr="00956486">
        <w:rPr>
          <w:rStyle w:val="Strong"/>
          <w:rFonts w:eastAsiaTheme="majorEastAsia"/>
          <w:sz w:val="22"/>
          <w:szCs w:val="22"/>
        </w:rPr>
        <w:t>BPA-free technologies</w:t>
      </w:r>
      <w:r w:rsidRPr="00956486">
        <w:rPr>
          <w:sz w:val="22"/>
          <w:szCs w:val="22"/>
        </w:rPr>
        <w:t>, especially in Europe</w:t>
      </w:r>
    </w:p>
    <w:p w14:paraId="4C4676D2" w14:textId="77777777" w:rsidR="00FF1334" w:rsidRPr="00956486" w:rsidRDefault="00FF1334" w:rsidP="00127934">
      <w:pPr>
        <w:pStyle w:val="NormalWeb"/>
        <w:numPr>
          <w:ilvl w:val="0"/>
          <w:numId w:val="84"/>
        </w:numPr>
        <w:rPr>
          <w:sz w:val="22"/>
          <w:szCs w:val="22"/>
        </w:rPr>
      </w:pPr>
      <w:r w:rsidRPr="00956486">
        <w:rPr>
          <w:rStyle w:val="Strong"/>
          <w:rFonts w:eastAsiaTheme="majorEastAsia"/>
          <w:sz w:val="22"/>
          <w:szCs w:val="22"/>
        </w:rPr>
        <w:t>Automotive Refinish</w:t>
      </w:r>
      <w:r w:rsidRPr="00956486">
        <w:rPr>
          <w:sz w:val="22"/>
          <w:szCs w:val="22"/>
        </w:rPr>
        <w:t>: Flat in the U.S.; down low-single digits globally due to reduced collision claims</w:t>
      </w:r>
    </w:p>
    <w:p w14:paraId="46494482" w14:textId="77777777" w:rsidR="00FF1334" w:rsidRPr="00956486" w:rsidRDefault="00FF1334" w:rsidP="00127934">
      <w:pPr>
        <w:pStyle w:val="NormalWeb"/>
        <w:numPr>
          <w:ilvl w:val="0"/>
          <w:numId w:val="84"/>
        </w:numPr>
        <w:rPr>
          <w:sz w:val="22"/>
          <w:szCs w:val="22"/>
        </w:rPr>
      </w:pPr>
      <w:r w:rsidRPr="00956486">
        <w:rPr>
          <w:rStyle w:val="Strong"/>
          <w:rFonts w:eastAsiaTheme="majorEastAsia"/>
          <w:sz w:val="22"/>
          <w:szCs w:val="22"/>
        </w:rPr>
        <w:t>Traffic Solutions</w:t>
      </w:r>
      <w:r w:rsidRPr="00956486">
        <w:rPr>
          <w:sz w:val="22"/>
          <w:szCs w:val="22"/>
        </w:rPr>
        <w:t>: Outpaced market growth due to infrastructure project tailwinds and share gains</w:t>
      </w:r>
    </w:p>
    <w:p w14:paraId="03D6107D" w14:textId="77777777" w:rsidR="00FF1334" w:rsidRPr="00956486" w:rsidRDefault="00FF1334" w:rsidP="00FF1334">
      <w:pPr>
        <w:pStyle w:val="NormalWeb"/>
        <w:rPr>
          <w:sz w:val="22"/>
          <w:szCs w:val="22"/>
        </w:rPr>
      </w:pPr>
      <w:r w:rsidRPr="00956486">
        <w:rPr>
          <w:rStyle w:val="Strong"/>
          <w:rFonts w:eastAsiaTheme="majorEastAsia"/>
          <w:sz w:val="22"/>
          <w:szCs w:val="22"/>
        </w:rPr>
        <w:t>Business Expansions &amp; Capital Expenditure Plans</w:t>
      </w:r>
    </w:p>
    <w:p w14:paraId="4643360B" w14:textId="0D8B0BA4" w:rsidR="00FF1334" w:rsidRPr="00956486" w:rsidRDefault="00FF1334" w:rsidP="00127934">
      <w:pPr>
        <w:pStyle w:val="NormalWeb"/>
        <w:numPr>
          <w:ilvl w:val="0"/>
          <w:numId w:val="85"/>
        </w:numPr>
        <w:rPr>
          <w:sz w:val="22"/>
          <w:szCs w:val="22"/>
        </w:rPr>
      </w:pPr>
      <w:r w:rsidRPr="00956486">
        <w:rPr>
          <w:rStyle w:val="Strong"/>
          <w:rFonts w:eastAsiaTheme="majorEastAsia"/>
          <w:sz w:val="22"/>
          <w:szCs w:val="22"/>
        </w:rPr>
        <w:t>New U.S. Aerospace Factory</w:t>
      </w:r>
      <w:r w:rsidRPr="00956486">
        <w:rPr>
          <w:sz w:val="22"/>
          <w:szCs w:val="22"/>
        </w:rPr>
        <w:t>: $380 million investment announced in Q2</w:t>
      </w:r>
      <w:r w:rsidR="005D3751">
        <w:rPr>
          <w:sz w:val="22"/>
          <w:szCs w:val="22"/>
        </w:rPr>
        <w:t xml:space="preserve"> in Shelby, NC</w:t>
      </w:r>
      <w:r w:rsidRPr="00956486">
        <w:rPr>
          <w:sz w:val="22"/>
          <w:szCs w:val="22"/>
        </w:rPr>
        <w:t>; will expand high-performance coatings capacity for defense and commercial aviation markets</w:t>
      </w:r>
    </w:p>
    <w:p w14:paraId="2BF6B502" w14:textId="77777777" w:rsidR="00FF1334" w:rsidRPr="00956486" w:rsidRDefault="00FF1334" w:rsidP="00127934">
      <w:pPr>
        <w:pStyle w:val="NormalWeb"/>
        <w:numPr>
          <w:ilvl w:val="0"/>
          <w:numId w:val="85"/>
        </w:numPr>
        <w:rPr>
          <w:sz w:val="22"/>
          <w:szCs w:val="22"/>
        </w:rPr>
      </w:pPr>
      <w:r w:rsidRPr="00956486">
        <w:rPr>
          <w:sz w:val="22"/>
          <w:szCs w:val="22"/>
        </w:rPr>
        <w:t xml:space="preserve">Ongoing </w:t>
      </w:r>
      <w:r w:rsidRPr="00956486">
        <w:rPr>
          <w:rStyle w:val="Strong"/>
          <w:rFonts w:eastAsiaTheme="majorEastAsia"/>
          <w:sz w:val="22"/>
          <w:szCs w:val="22"/>
        </w:rPr>
        <w:t>debottlenecking</w:t>
      </w:r>
      <w:r w:rsidRPr="00956486">
        <w:rPr>
          <w:sz w:val="22"/>
          <w:szCs w:val="22"/>
        </w:rPr>
        <w:t xml:space="preserve"> and </w:t>
      </w:r>
      <w:r w:rsidRPr="00956486">
        <w:rPr>
          <w:rStyle w:val="Strong"/>
          <w:rFonts w:eastAsiaTheme="majorEastAsia"/>
          <w:sz w:val="22"/>
          <w:szCs w:val="22"/>
        </w:rPr>
        <w:t>productivity investments</w:t>
      </w:r>
      <w:r w:rsidRPr="00956486">
        <w:rPr>
          <w:sz w:val="22"/>
          <w:szCs w:val="22"/>
        </w:rPr>
        <w:t xml:space="preserve"> across all coating lines, especially in Aerospace and Protective &amp; Marine</w:t>
      </w:r>
    </w:p>
    <w:p w14:paraId="328AD61C" w14:textId="77777777" w:rsidR="00FF1334" w:rsidRPr="00956486" w:rsidRDefault="00FF1334" w:rsidP="00127934">
      <w:pPr>
        <w:pStyle w:val="NormalWeb"/>
        <w:numPr>
          <w:ilvl w:val="0"/>
          <w:numId w:val="85"/>
        </w:numPr>
        <w:rPr>
          <w:sz w:val="22"/>
          <w:szCs w:val="22"/>
        </w:rPr>
      </w:pPr>
      <w:proofErr w:type="spellStart"/>
      <w:r w:rsidRPr="00956486">
        <w:rPr>
          <w:rStyle w:val="Strong"/>
          <w:rFonts w:eastAsiaTheme="majorEastAsia"/>
          <w:sz w:val="22"/>
          <w:szCs w:val="22"/>
        </w:rPr>
        <w:t>MoonWalk</w:t>
      </w:r>
      <w:proofErr w:type="spellEnd"/>
      <w:r w:rsidRPr="00956486">
        <w:rPr>
          <w:rStyle w:val="Strong"/>
          <w:rFonts w:eastAsiaTheme="majorEastAsia"/>
          <w:sz w:val="22"/>
          <w:szCs w:val="22"/>
        </w:rPr>
        <w:t xml:space="preserve"> paint mixing system</w:t>
      </w:r>
      <w:r w:rsidRPr="00956486">
        <w:rPr>
          <w:sz w:val="22"/>
          <w:szCs w:val="22"/>
        </w:rPr>
        <w:t xml:space="preserve"> saw its 3,000th installation in Q2, with continued investments in digital tools to drive Refinish segment productivity</w:t>
      </w:r>
    </w:p>
    <w:p w14:paraId="1344B57C" w14:textId="77777777" w:rsidR="00FF1334" w:rsidRPr="00956486" w:rsidRDefault="00FF1334" w:rsidP="00127934">
      <w:pPr>
        <w:pStyle w:val="NormalWeb"/>
        <w:numPr>
          <w:ilvl w:val="0"/>
          <w:numId w:val="85"/>
        </w:numPr>
        <w:rPr>
          <w:sz w:val="22"/>
          <w:szCs w:val="22"/>
        </w:rPr>
      </w:pPr>
      <w:r w:rsidRPr="00956486">
        <w:rPr>
          <w:sz w:val="22"/>
          <w:szCs w:val="22"/>
        </w:rPr>
        <w:t xml:space="preserve">Self-help cost savings of </w:t>
      </w:r>
      <w:r w:rsidRPr="00956486">
        <w:rPr>
          <w:rStyle w:val="Strong"/>
          <w:rFonts w:eastAsiaTheme="majorEastAsia"/>
          <w:sz w:val="22"/>
          <w:szCs w:val="22"/>
        </w:rPr>
        <w:t>$75 million expected in FY2025</w:t>
      </w:r>
      <w:r w:rsidRPr="00956486">
        <w:rPr>
          <w:sz w:val="22"/>
          <w:szCs w:val="22"/>
        </w:rPr>
        <w:t>, with $30 million realized in H1</w:t>
      </w:r>
    </w:p>
    <w:p w14:paraId="4DF30A32" w14:textId="77777777" w:rsidR="00FF1334" w:rsidRPr="00956486" w:rsidRDefault="00FF1334" w:rsidP="00127934">
      <w:pPr>
        <w:pStyle w:val="NormalWeb"/>
        <w:numPr>
          <w:ilvl w:val="0"/>
          <w:numId w:val="85"/>
        </w:numPr>
        <w:rPr>
          <w:sz w:val="22"/>
          <w:szCs w:val="22"/>
        </w:rPr>
      </w:pPr>
      <w:r w:rsidRPr="00956486">
        <w:rPr>
          <w:sz w:val="22"/>
          <w:szCs w:val="22"/>
        </w:rPr>
        <w:lastRenderedPageBreak/>
        <w:t>M&amp;A remains muted, with company focusing on organic growth; opportunistic buybacks continue</w:t>
      </w:r>
    </w:p>
    <w:p w14:paraId="7FDB0A2F" w14:textId="77777777" w:rsidR="00FF1334" w:rsidRPr="00956486" w:rsidRDefault="00FF1334" w:rsidP="00FF1334">
      <w:pPr>
        <w:pStyle w:val="NormalWeb"/>
        <w:rPr>
          <w:sz w:val="22"/>
          <w:szCs w:val="22"/>
        </w:rPr>
      </w:pPr>
      <w:r w:rsidRPr="00956486">
        <w:rPr>
          <w:rStyle w:val="Strong"/>
          <w:rFonts w:eastAsiaTheme="majorEastAsia"/>
          <w:sz w:val="22"/>
          <w:szCs w:val="22"/>
        </w:rPr>
        <w:t>Segment Performance &amp; Outlook</w:t>
      </w:r>
    </w:p>
    <w:p w14:paraId="1122AE1B" w14:textId="77777777" w:rsidR="00FF1334" w:rsidRPr="00956486" w:rsidRDefault="00FF1334" w:rsidP="00127934">
      <w:pPr>
        <w:pStyle w:val="NormalWeb"/>
        <w:numPr>
          <w:ilvl w:val="0"/>
          <w:numId w:val="86"/>
        </w:numPr>
        <w:rPr>
          <w:sz w:val="22"/>
          <w:szCs w:val="22"/>
        </w:rPr>
      </w:pPr>
      <w:r w:rsidRPr="00956486">
        <w:rPr>
          <w:rStyle w:val="Strong"/>
          <w:rFonts w:eastAsiaTheme="majorEastAsia"/>
          <w:sz w:val="22"/>
          <w:szCs w:val="22"/>
        </w:rPr>
        <w:t>Performance Coatings</w:t>
      </w:r>
      <w:r w:rsidRPr="00956486">
        <w:rPr>
          <w:sz w:val="22"/>
          <w:szCs w:val="22"/>
        </w:rPr>
        <w:t xml:space="preserve"> (relevant to Huntsville, AL operations):</w:t>
      </w:r>
    </w:p>
    <w:p w14:paraId="7A7DED30" w14:textId="77777777" w:rsidR="00FF1334" w:rsidRPr="00956486" w:rsidRDefault="00FF1334" w:rsidP="00127934">
      <w:pPr>
        <w:pStyle w:val="NormalWeb"/>
        <w:numPr>
          <w:ilvl w:val="1"/>
          <w:numId w:val="86"/>
        </w:numPr>
        <w:rPr>
          <w:sz w:val="22"/>
          <w:szCs w:val="22"/>
        </w:rPr>
      </w:pPr>
      <w:r w:rsidRPr="00956486">
        <w:rPr>
          <w:sz w:val="22"/>
          <w:szCs w:val="22"/>
        </w:rPr>
        <w:t>Organic sales: +6% YoY</w:t>
      </w:r>
    </w:p>
    <w:p w14:paraId="4C015128" w14:textId="77777777" w:rsidR="00FF1334" w:rsidRPr="00956486" w:rsidRDefault="00FF1334" w:rsidP="00127934">
      <w:pPr>
        <w:pStyle w:val="NormalWeb"/>
        <w:numPr>
          <w:ilvl w:val="1"/>
          <w:numId w:val="86"/>
        </w:numPr>
        <w:rPr>
          <w:sz w:val="22"/>
          <w:szCs w:val="22"/>
        </w:rPr>
      </w:pPr>
      <w:r w:rsidRPr="00956486">
        <w:rPr>
          <w:sz w:val="22"/>
          <w:szCs w:val="22"/>
        </w:rPr>
        <w:t>EBITDA: Up 8% YoY</w:t>
      </w:r>
    </w:p>
    <w:p w14:paraId="69935C25" w14:textId="77777777" w:rsidR="00FF1334" w:rsidRPr="00956486" w:rsidRDefault="00FF1334" w:rsidP="00127934">
      <w:pPr>
        <w:pStyle w:val="NormalWeb"/>
        <w:numPr>
          <w:ilvl w:val="1"/>
          <w:numId w:val="86"/>
        </w:numPr>
        <w:rPr>
          <w:sz w:val="22"/>
          <w:szCs w:val="22"/>
        </w:rPr>
      </w:pPr>
      <w:r w:rsidRPr="00956486">
        <w:rPr>
          <w:sz w:val="22"/>
          <w:szCs w:val="22"/>
        </w:rPr>
        <w:t xml:space="preserve">Aerospace: Record quarter; debottlenecking supported volume gains, with continued </w:t>
      </w:r>
      <w:proofErr w:type="spellStart"/>
      <w:r w:rsidRPr="00956486">
        <w:rPr>
          <w:sz w:val="22"/>
          <w:szCs w:val="22"/>
        </w:rPr>
        <w:t>CapEx</w:t>
      </w:r>
      <w:proofErr w:type="spellEnd"/>
      <w:r w:rsidRPr="00956486">
        <w:rPr>
          <w:sz w:val="22"/>
          <w:szCs w:val="22"/>
        </w:rPr>
        <w:t xml:space="preserve"> investment</w:t>
      </w:r>
    </w:p>
    <w:p w14:paraId="5542F7DE" w14:textId="77777777" w:rsidR="00FF1334" w:rsidRPr="00956486" w:rsidRDefault="00FF1334" w:rsidP="00127934">
      <w:pPr>
        <w:pStyle w:val="NormalWeb"/>
        <w:numPr>
          <w:ilvl w:val="1"/>
          <w:numId w:val="86"/>
        </w:numPr>
        <w:rPr>
          <w:sz w:val="22"/>
          <w:szCs w:val="22"/>
        </w:rPr>
      </w:pPr>
      <w:r w:rsidRPr="00956486">
        <w:rPr>
          <w:sz w:val="22"/>
          <w:szCs w:val="22"/>
        </w:rPr>
        <w:t>Protective &amp; Marine: Strong across EMEA, Asia, and U.S., supported by differentiated technologies (SigmaGlide, Sale Advance, fire protection coatings)</w:t>
      </w:r>
    </w:p>
    <w:p w14:paraId="052BE63B" w14:textId="77777777" w:rsidR="00FF1334" w:rsidRPr="00956486" w:rsidRDefault="00FF1334" w:rsidP="00127934">
      <w:pPr>
        <w:pStyle w:val="NormalWeb"/>
        <w:numPr>
          <w:ilvl w:val="1"/>
          <w:numId w:val="86"/>
        </w:numPr>
        <w:rPr>
          <w:sz w:val="22"/>
          <w:szCs w:val="22"/>
        </w:rPr>
      </w:pPr>
      <w:r w:rsidRPr="00956486">
        <w:rPr>
          <w:sz w:val="22"/>
          <w:szCs w:val="22"/>
        </w:rPr>
        <w:t>Packaging Coatings: High-single-digit growth; benefits from BPA-regulation-driven conversions in Europe</w:t>
      </w:r>
    </w:p>
    <w:p w14:paraId="002C0C1A" w14:textId="77777777" w:rsidR="00FF1334" w:rsidRPr="00956486" w:rsidRDefault="00FF1334" w:rsidP="00127934">
      <w:pPr>
        <w:pStyle w:val="NormalWeb"/>
        <w:numPr>
          <w:ilvl w:val="1"/>
          <w:numId w:val="86"/>
        </w:numPr>
        <w:rPr>
          <w:sz w:val="22"/>
          <w:szCs w:val="22"/>
        </w:rPr>
      </w:pPr>
      <w:r w:rsidRPr="00956486">
        <w:rPr>
          <w:sz w:val="22"/>
          <w:szCs w:val="22"/>
        </w:rPr>
        <w:t>Traffic Solutions: Grew mid-single digits, driven by infrastructure activity</w:t>
      </w:r>
    </w:p>
    <w:p w14:paraId="34D8EA6F" w14:textId="77777777" w:rsidR="00FF1334" w:rsidRPr="00956486" w:rsidRDefault="00FF1334" w:rsidP="00127934">
      <w:pPr>
        <w:pStyle w:val="NormalWeb"/>
        <w:numPr>
          <w:ilvl w:val="1"/>
          <w:numId w:val="86"/>
        </w:numPr>
        <w:rPr>
          <w:sz w:val="22"/>
          <w:szCs w:val="22"/>
        </w:rPr>
      </w:pPr>
      <w:r w:rsidRPr="00956486">
        <w:rPr>
          <w:sz w:val="22"/>
          <w:szCs w:val="22"/>
        </w:rPr>
        <w:t>Automotive Refinish: Flat U.S. performance despite weak collision claims; Q3 expected to be soft due to customer order normalization</w:t>
      </w:r>
    </w:p>
    <w:p w14:paraId="00A66584" w14:textId="77777777" w:rsidR="00FF1334" w:rsidRPr="00956486" w:rsidRDefault="00FF1334" w:rsidP="00127934">
      <w:pPr>
        <w:pStyle w:val="NormalWeb"/>
        <w:numPr>
          <w:ilvl w:val="0"/>
          <w:numId w:val="86"/>
        </w:numPr>
        <w:rPr>
          <w:sz w:val="22"/>
          <w:szCs w:val="22"/>
        </w:rPr>
      </w:pPr>
      <w:r w:rsidRPr="00956486">
        <w:rPr>
          <w:rStyle w:val="Strong"/>
          <w:rFonts w:eastAsiaTheme="majorEastAsia"/>
          <w:sz w:val="22"/>
          <w:szCs w:val="22"/>
        </w:rPr>
        <w:t>Industrial Coatings</w:t>
      </w:r>
      <w:r w:rsidRPr="00956486">
        <w:rPr>
          <w:sz w:val="22"/>
          <w:szCs w:val="22"/>
        </w:rPr>
        <w:t>:</w:t>
      </w:r>
    </w:p>
    <w:p w14:paraId="0A913BDE" w14:textId="77777777" w:rsidR="00FF1334" w:rsidRPr="00956486" w:rsidRDefault="00FF1334" w:rsidP="00127934">
      <w:pPr>
        <w:pStyle w:val="NormalWeb"/>
        <w:numPr>
          <w:ilvl w:val="1"/>
          <w:numId w:val="86"/>
        </w:numPr>
        <w:rPr>
          <w:sz w:val="22"/>
          <w:szCs w:val="22"/>
        </w:rPr>
      </w:pPr>
      <w:r w:rsidRPr="00956486">
        <w:rPr>
          <w:sz w:val="22"/>
          <w:szCs w:val="22"/>
        </w:rPr>
        <w:t>Flat sales volumes; share gains beginning to offset soft macro environment</w:t>
      </w:r>
    </w:p>
    <w:p w14:paraId="00B26EFF" w14:textId="77777777" w:rsidR="00FF1334" w:rsidRPr="00956486" w:rsidRDefault="00FF1334" w:rsidP="00127934">
      <w:pPr>
        <w:pStyle w:val="NormalWeb"/>
        <w:numPr>
          <w:ilvl w:val="1"/>
          <w:numId w:val="86"/>
        </w:numPr>
        <w:rPr>
          <w:sz w:val="22"/>
          <w:szCs w:val="22"/>
        </w:rPr>
      </w:pPr>
      <w:proofErr w:type="gramStart"/>
      <w:r w:rsidRPr="00956486">
        <w:rPr>
          <w:sz w:val="22"/>
          <w:szCs w:val="22"/>
        </w:rPr>
        <w:t>Price</w:t>
      </w:r>
      <w:proofErr w:type="gramEnd"/>
      <w:r w:rsidRPr="00956486">
        <w:rPr>
          <w:sz w:val="22"/>
          <w:szCs w:val="22"/>
        </w:rPr>
        <w:t xml:space="preserve"> declined 1% due to index-linked contract resets</w:t>
      </w:r>
    </w:p>
    <w:p w14:paraId="5858E638" w14:textId="77777777" w:rsidR="00FF1334" w:rsidRPr="00956486" w:rsidRDefault="00FF1334" w:rsidP="00127934">
      <w:pPr>
        <w:pStyle w:val="NormalWeb"/>
        <w:numPr>
          <w:ilvl w:val="1"/>
          <w:numId w:val="86"/>
        </w:numPr>
        <w:rPr>
          <w:sz w:val="22"/>
          <w:szCs w:val="22"/>
        </w:rPr>
      </w:pPr>
      <w:r w:rsidRPr="00956486">
        <w:rPr>
          <w:sz w:val="22"/>
          <w:szCs w:val="22"/>
        </w:rPr>
        <w:t>Automotive OEM: Strength in Asia and Latin America; U.S. and Europe soft due to production cuts</w:t>
      </w:r>
    </w:p>
    <w:p w14:paraId="6584CFAB" w14:textId="77777777" w:rsidR="00FF1334" w:rsidRPr="00956486" w:rsidRDefault="00FF1334" w:rsidP="00127934">
      <w:pPr>
        <w:pStyle w:val="NormalWeb"/>
        <w:numPr>
          <w:ilvl w:val="1"/>
          <w:numId w:val="86"/>
        </w:numPr>
        <w:rPr>
          <w:sz w:val="22"/>
          <w:szCs w:val="22"/>
        </w:rPr>
      </w:pPr>
      <w:r w:rsidRPr="00956486">
        <w:rPr>
          <w:sz w:val="22"/>
          <w:szCs w:val="22"/>
        </w:rPr>
        <w:t>Share gains expected to contribute ~$100M annualized by year-end</w:t>
      </w:r>
    </w:p>
    <w:p w14:paraId="331FAE3C" w14:textId="77777777" w:rsidR="00FF1334" w:rsidRPr="00956486" w:rsidRDefault="00FF1334" w:rsidP="00127934">
      <w:pPr>
        <w:pStyle w:val="NormalWeb"/>
        <w:numPr>
          <w:ilvl w:val="0"/>
          <w:numId w:val="86"/>
        </w:numPr>
        <w:rPr>
          <w:sz w:val="22"/>
          <w:szCs w:val="22"/>
        </w:rPr>
      </w:pPr>
      <w:r w:rsidRPr="00956486">
        <w:rPr>
          <w:rStyle w:val="Strong"/>
          <w:rFonts w:eastAsiaTheme="majorEastAsia"/>
          <w:sz w:val="22"/>
          <w:szCs w:val="22"/>
        </w:rPr>
        <w:t>Architectural Coatings</w:t>
      </w:r>
      <w:r w:rsidRPr="00956486">
        <w:rPr>
          <w:sz w:val="22"/>
          <w:szCs w:val="22"/>
        </w:rPr>
        <w:t>:</w:t>
      </w:r>
    </w:p>
    <w:p w14:paraId="616C08D7" w14:textId="77777777" w:rsidR="00FF1334" w:rsidRPr="00956486" w:rsidRDefault="00FF1334" w:rsidP="00127934">
      <w:pPr>
        <w:pStyle w:val="NormalWeb"/>
        <w:numPr>
          <w:ilvl w:val="1"/>
          <w:numId w:val="86"/>
        </w:numPr>
        <w:rPr>
          <w:sz w:val="22"/>
          <w:szCs w:val="22"/>
        </w:rPr>
      </w:pPr>
      <w:r w:rsidRPr="00956486">
        <w:rPr>
          <w:sz w:val="22"/>
          <w:szCs w:val="22"/>
        </w:rPr>
        <w:t>Sales down slightly due to soft Europe demand and business divestiture</w:t>
      </w:r>
    </w:p>
    <w:p w14:paraId="089C002B" w14:textId="77777777" w:rsidR="00FF1334" w:rsidRPr="00956486" w:rsidRDefault="00FF1334" w:rsidP="00127934">
      <w:pPr>
        <w:pStyle w:val="NormalWeb"/>
        <w:numPr>
          <w:ilvl w:val="1"/>
          <w:numId w:val="86"/>
        </w:numPr>
        <w:rPr>
          <w:sz w:val="22"/>
          <w:szCs w:val="22"/>
        </w:rPr>
      </w:pPr>
      <w:r w:rsidRPr="00956486">
        <w:rPr>
          <w:sz w:val="22"/>
          <w:szCs w:val="22"/>
        </w:rPr>
        <w:t>Mexico retail sales improved; project-related spending still recovering</w:t>
      </w:r>
    </w:p>
    <w:p w14:paraId="63BF1FDA" w14:textId="77777777" w:rsidR="00FF1334" w:rsidRPr="00956486" w:rsidRDefault="00FF1334" w:rsidP="00127934">
      <w:pPr>
        <w:pStyle w:val="NormalWeb"/>
        <w:numPr>
          <w:ilvl w:val="1"/>
          <w:numId w:val="86"/>
        </w:numPr>
        <w:rPr>
          <w:sz w:val="22"/>
          <w:szCs w:val="22"/>
        </w:rPr>
      </w:pPr>
      <w:r w:rsidRPr="00956486">
        <w:rPr>
          <w:sz w:val="22"/>
          <w:szCs w:val="22"/>
        </w:rPr>
        <w:t>Margin pressure from FX, lower B2B volume, and temporary supply chain disruption in Australia</w:t>
      </w:r>
    </w:p>
    <w:p w14:paraId="3635CACF" w14:textId="77777777" w:rsidR="00FF1334" w:rsidRPr="00956486" w:rsidRDefault="00FF1334" w:rsidP="00127934">
      <w:pPr>
        <w:pStyle w:val="NormalWeb"/>
        <w:numPr>
          <w:ilvl w:val="0"/>
          <w:numId w:val="86"/>
        </w:numPr>
        <w:rPr>
          <w:sz w:val="22"/>
          <w:szCs w:val="22"/>
        </w:rPr>
      </w:pPr>
      <w:r w:rsidRPr="00956486">
        <w:rPr>
          <w:rStyle w:val="Strong"/>
          <w:rFonts w:eastAsiaTheme="majorEastAsia"/>
          <w:sz w:val="22"/>
          <w:szCs w:val="22"/>
        </w:rPr>
        <w:t>Outlook</w:t>
      </w:r>
      <w:r w:rsidRPr="00956486">
        <w:rPr>
          <w:sz w:val="22"/>
          <w:szCs w:val="22"/>
        </w:rPr>
        <w:t>:</w:t>
      </w:r>
    </w:p>
    <w:p w14:paraId="48B22E28" w14:textId="77777777" w:rsidR="00FF1334" w:rsidRPr="00956486" w:rsidRDefault="00FF1334" w:rsidP="00127934">
      <w:pPr>
        <w:pStyle w:val="NormalWeb"/>
        <w:numPr>
          <w:ilvl w:val="1"/>
          <w:numId w:val="86"/>
        </w:numPr>
        <w:rPr>
          <w:sz w:val="22"/>
          <w:szCs w:val="22"/>
        </w:rPr>
      </w:pPr>
      <w:r w:rsidRPr="00956486">
        <w:rPr>
          <w:sz w:val="22"/>
          <w:szCs w:val="22"/>
        </w:rPr>
        <w:t>Low single-digit volume growth expected in H2 across all core businesses</w:t>
      </w:r>
    </w:p>
    <w:p w14:paraId="76A18EE4" w14:textId="77777777" w:rsidR="00FF1334" w:rsidRPr="00956486" w:rsidRDefault="00FF1334" w:rsidP="00127934">
      <w:pPr>
        <w:pStyle w:val="NormalWeb"/>
        <w:numPr>
          <w:ilvl w:val="1"/>
          <w:numId w:val="86"/>
        </w:numPr>
        <w:rPr>
          <w:sz w:val="22"/>
          <w:szCs w:val="22"/>
        </w:rPr>
      </w:pPr>
      <w:r w:rsidRPr="00956486">
        <w:rPr>
          <w:sz w:val="22"/>
          <w:szCs w:val="22"/>
        </w:rPr>
        <w:t xml:space="preserve">H2 EPS growth expected to be </w:t>
      </w:r>
      <w:r w:rsidRPr="00956486">
        <w:rPr>
          <w:rStyle w:val="Strong"/>
          <w:rFonts w:eastAsiaTheme="majorEastAsia"/>
          <w:sz w:val="22"/>
          <w:szCs w:val="22"/>
        </w:rPr>
        <w:t>mid-single-digit in Q3</w:t>
      </w:r>
      <w:r w:rsidRPr="00956486">
        <w:rPr>
          <w:sz w:val="22"/>
          <w:szCs w:val="22"/>
        </w:rPr>
        <w:t xml:space="preserve">, </w:t>
      </w:r>
      <w:r w:rsidRPr="00956486">
        <w:rPr>
          <w:rStyle w:val="Strong"/>
          <w:rFonts w:eastAsiaTheme="majorEastAsia"/>
          <w:sz w:val="22"/>
          <w:szCs w:val="22"/>
        </w:rPr>
        <w:t>low-double-digit in Q4</w:t>
      </w:r>
    </w:p>
    <w:p w14:paraId="2EF3C348" w14:textId="77777777" w:rsidR="00FF1334" w:rsidRPr="00956486" w:rsidRDefault="00FF1334" w:rsidP="00127934">
      <w:pPr>
        <w:pStyle w:val="NormalWeb"/>
        <w:numPr>
          <w:ilvl w:val="1"/>
          <w:numId w:val="86"/>
        </w:numPr>
        <w:rPr>
          <w:sz w:val="22"/>
          <w:szCs w:val="22"/>
        </w:rPr>
      </w:pPr>
      <w:r w:rsidRPr="00956486">
        <w:rPr>
          <w:sz w:val="22"/>
          <w:szCs w:val="22"/>
        </w:rPr>
        <w:t xml:space="preserve">Full-year EPS guidance reaffirmed at </w:t>
      </w:r>
      <w:r w:rsidRPr="00956486">
        <w:rPr>
          <w:rStyle w:val="Strong"/>
          <w:rFonts w:eastAsiaTheme="majorEastAsia"/>
          <w:sz w:val="22"/>
          <w:szCs w:val="22"/>
        </w:rPr>
        <w:t>$7.75–$8.05</w:t>
      </w:r>
    </w:p>
    <w:p w14:paraId="58975DC6" w14:textId="77777777" w:rsidR="00FF1334" w:rsidRPr="00956486" w:rsidRDefault="00FF1334" w:rsidP="00127934">
      <w:pPr>
        <w:pStyle w:val="NormalWeb"/>
        <w:numPr>
          <w:ilvl w:val="1"/>
          <w:numId w:val="86"/>
        </w:numPr>
        <w:rPr>
          <w:sz w:val="22"/>
          <w:szCs w:val="22"/>
        </w:rPr>
      </w:pPr>
      <w:r w:rsidRPr="00956486">
        <w:rPr>
          <w:sz w:val="22"/>
          <w:szCs w:val="22"/>
        </w:rPr>
        <w:t xml:space="preserve">Aerospace, Protective &amp; Marine, and Industrial Coatings share gains expected to drive </w:t>
      </w:r>
      <w:r w:rsidRPr="00956486">
        <w:rPr>
          <w:rStyle w:val="Strong"/>
          <w:rFonts w:eastAsiaTheme="majorEastAsia"/>
          <w:sz w:val="22"/>
          <w:szCs w:val="22"/>
        </w:rPr>
        <w:t>strong second-half performance</w:t>
      </w:r>
    </w:p>
    <w:p w14:paraId="41F54CBF" w14:textId="77777777" w:rsidR="00FF1334" w:rsidRPr="00956486" w:rsidRDefault="00FF1334" w:rsidP="00127934">
      <w:pPr>
        <w:pStyle w:val="NormalWeb"/>
        <w:numPr>
          <w:ilvl w:val="1"/>
          <w:numId w:val="86"/>
        </w:numPr>
        <w:rPr>
          <w:sz w:val="22"/>
          <w:szCs w:val="22"/>
        </w:rPr>
      </w:pPr>
      <w:r w:rsidRPr="00956486">
        <w:rPr>
          <w:sz w:val="22"/>
          <w:szCs w:val="22"/>
        </w:rPr>
        <w:t>U.S. operations, particularly in aerospace (Huntsville, AL), are key contributors to the company’s outperformance relative to peers</w:t>
      </w:r>
    </w:p>
    <w:p w14:paraId="671B3F9A" w14:textId="251FE8A3" w:rsidR="2535092B" w:rsidRDefault="2535092B" w:rsidP="2535092B">
      <w:pPr>
        <w:rPr>
          <w:rFonts w:ascii="Times New Roman" w:eastAsia="Times New Roman" w:hAnsi="Times New Roman" w:cs="Times New Roman"/>
        </w:rPr>
      </w:pPr>
    </w:p>
    <w:p w14:paraId="3B342A4E" w14:textId="77777777" w:rsidR="00BC0D8E" w:rsidRPr="00BC0D8E" w:rsidRDefault="79480DE4" w:rsidP="00BC0D8E">
      <w:pPr>
        <w:pStyle w:val="Heading2"/>
        <w:rPr>
          <w:rFonts w:cs="Times New Roman"/>
        </w:rPr>
      </w:pPr>
      <w:bookmarkStart w:id="118" w:name="_Toc147824712"/>
      <w:bookmarkStart w:id="119" w:name="_Toc212796782"/>
      <w:r w:rsidRPr="2535092B">
        <w:rPr>
          <w:rFonts w:cs="Times New Roman"/>
        </w:rPr>
        <w:t>Smurfit WestRock PLC (</w:t>
      </w:r>
      <w:proofErr w:type="gramStart"/>
      <w:r w:rsidRPr="2535092B">
        <w:rPr>
          <w:rFonts w:cs="Times New Roman"/>
        </w:rPr>
        <w:t>NYSE:SW</w:t>
      </w:r>
      <w:proofErr w:type="gramEnd"/>
      <w:r w:rsidRPr="2535092B">
        <w:rPr>
          <w:rFonts w:cs="Times New Roman"/>
        </w:rPr>
        <w:t>)</w:t>
      </w:r>
      <w:bookmarkEnd w:id="118"/>
      <w:bookmarkEnd w:id="119"/>
      <w:r w:rsidRPr="2535092B">
        <w:rPr>
          <w:rFonts w:cs="Times New Roman"/>
        </w:rPr>
        <w:t xml:space="preserve"> </w:t>
      </w:r>
    </w:p>
    <w:p w14:paraId="5B47BC70" w14:textId="3D2E4142" w:rsidR="00BC0D8E" w:rsidRPr="00BC0D8E" w:rsidRDefault="3282754C" w:rsidP="2EEB26EF">
      <w:pPr>
        <w:pStyle w:val="Heading3"/>
        <w:rPr>
          <w:rFonts w:cs="Times New Roman"/>
        </w:rPr>
      </w:pPr>
      <w:bookmarkStart w:id="120" w:name="_Toc147824713"/>
      <w:bookmarkStart w:id="121" w:name="_Toc212796783"/>
      <w:r w:rsidRPr="2EEB26EF">
        <w:rPr>
          <w:rFonts w:cs="Times New Roman"/>
        </w:rPr>
        <w:t xml:space="preserve">Outlook: </w:t>
      </w:r>
      <w:r w:rsidR="2A5233B4" w:rsidRPr="2EEB26EF">
        <w:rPr>
          <w:rFonts w:cs="Times New Roman"/>
        </w:rPr>
        <w:t>Neutral</w:t>
      </w:r>
      <w:bookmarkEnd w:id="120"/>
      <w:bookmarkEnd w:id="121"/>
    </w:p>
    <w:p w14:paraId="6A15072D" w14:textId="3EB80ADA" w:rsidR="00BC0D8E" w:rsidRPr="00BC0D8E" w:rsidRDefault="3282754C" w:rsidP="2535092B">
      <w:pPr>
        <w:pStyle w:val="Heading3"/>
        <w:rPr>
          <w:rFonts w:eastAsia="Times New Roman" w:cs="Times New Roman"/>
          <w:color w:val="00B050"/>
        </w:rPr>
      </w:pPr>
      <w:bookmarkStart w:id="122" w:name="_Toc147824714"/>
      <w:bookmarkStart w:id="123" w:name="_Toc212796784"/>
      <w:r w:rsidRPr="2EEB26EF">
        <w:rPr>
          <w:rFonts w:cs="Times New Roman"/>
        </w:rPr>
        <w:t>AL Outlook:</w:t>
      </w:r>
      <w:bookmarkEnd w:id="122"/>
      <w:r w:rsidR="00D02B5E">
        <w:rPr>
          <w:rFonts w:cs="Times New Roman"/>
        </w:rPr>
        <w:t xml:space="preserve"> </w:t>
      </w:r>
      <w:r w:rsidR="007C48B4" w:rsidRPr="2EEB26EF">
        <w:rPr>
          <w:rFonts w:cs="Times New Roman"/>
        </w:rPr>
        <w:t>Neutral</w:t>
      </w:r>
      <w:bookmarkEnd w:id="123"/>
    </w:p>
    <w:p w14:paraId="43C1382B" w14:textId="139026ED" w:rsidR="00BC0D8E" w:rsidRPr="00BC0D8E" w:rsidRDefault="3282754C" w:rsidP="2EEB26EF">
      <w:pPr>
        <w:rPr>
          <w:rFonts w:ascii="Times New Roman" w:hAnsi="Times New Roman" w:cs="Times New Roman"/>
        </w:rPr>
      </w:pPr>
      <w:r w:rsidRPr="2EEB26EF">
        <w:rPr>
          <w:rFonts w:ascii="Times New Roman" w:hAnsi="Times New Roman" w:cs="Times New Roman"/>
          <w:b/>
          <w:bCs/>
        </w:rPr>
        <w:t>Recommended Action:</w:t>
      </w:r>
      <w:r w:rsidRPr="2EEB26EF">
        <w:rPr>
          <w:rFonts w:ascii="Times New Roman" w:hAnsi="Times New Roman" w:cs="Times New Roman"/>
        </w:rPr>
        <w:t xml:space="preserve"> </w:t>
      </w:r>
      <w:r w:rsidR="00D53361" w:rsidRPr="00AF2939">
        <w:rPr>
          <w:rFonts w:ascii="Times New Roman" w:hAnsi="Times New Roman" w:cs="Times New Roman"/>
        </w:rPr>
        <w:t>Monitor cost-reduction progress across Alabama plants as the company executes its margin-over-volume strategy and rationalizes converting capacity.</w:t>
      </w:r>
    </w:p>
    <w:p w14:paraId="1556CDD7" w14:textId="47DEC460" w:rsidR="008B733A" w:rsidRDefault="2DA7706B" w:rsidP="2535092B">
      <w:pPr>
        <w:rPr>
          <w:rFonts w:ascii="Times New Roman" w:eastAsia="Times New Roman" w:hAnsi="Times New Roman" w:cs="Times New Roman"/>
          <w:color w:val="000000" w:themeColor="text1"/>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xml:space="preserve">: </w:t>
      </w:r>
      <w:r w:rsidRPr="2535092B">
        <w:rPr>
          <w:rFonts w:ascii="Times New Roman" w:eastAsia="Times New Roman" w:hAnsi="Times New Roman" w:cs="Times New Roman"/>
          <w:b/>
          <w:bCs/>
          <w:color w:val="000000" w:themeColor="text1"/>
        </w:rPr>
        <w:t>Cullman</w:t>
      </w:r>
      <w:r w:rsidRPr="2535092B">
        <w:rPr>
          <w:rFonts w:ascii="Times New Roman" w:eastAsia="Times New Roman" w:hAnsi="Times New Roman" w:cs="Times New Roman"/>
          <w:color w:val="000000" w:themeColor="text1"/>
        </w:rPr>
        <w:t xml:space="preserve">: Corrugated containers manufacturing facility; </w:t>
      </w:r>
      <w:r w:rsidRPr="2535092B">
        <w:rPr>
          <w:rFonts w:ascii="Times New Roman" w:eastAsia="Times New Roman" w:hAnsi="Times New Roman" w:cs="Times New Roman"/>
          <w:b/>
          <w:bCs/>
          <w:color w:val="000000" w:themeColor="text1"/>
        </w:rPr>
        <w:t>Montgomery</w:t>
      </w:r>
      <w:r w:rsidRPr="2535092B">
        <w:rPr>
          <w:rFonts w:ascii="Times New Roman" w:eastAsia="Times New Roman" w:hAnsi="Times New Roman" w:cs="Times New Roman"/>
          <w:color w:val="000000" w:themeColor="text1"/>
        </w:rPr>
        <w:t xml:space="preserve">: Corrugated containers manufacturing facility; </w:t>
      </w:r>
      <w:r w:rsidRPr="2535092B">
        <w:rPr>
          <w:rFonts w:ascii="Times New Roman" w:eastAsia="Times New Roman" w:hAnsi="Times New Roman" w:cs="Times New Roman"/>
          <w:b/>
          <w:bCs/>
          <w:color w:val="000000" w:themeColor="text1"/>
        </w:rPr>
        <w:t>Eutaw</w:t>
      </w:r>
      <w:r w:rsidRPr="2535092B">
        <w:rPr>
          <w:rFonts w:ascii="Times New Roman" w:eastAsia="Times New Roman" w:hAnsi="Times New Roman" w:cs="Times New Roman"/>
          <w:color w:val="000000" w:themeColor="text1"/>
        </w:rPr>
        <w:t xml:space="preserve">: Folding cartons manufacturing facility; </w:t>
      </w:r>
      <w:r w:rsidRPr="2535092B">
        <w:rPr>
          <w:rFonts w:ascii="Times New Roman" w:eastAsia="Times New Roman" w:hAnsi="Times New Roman" w:cs="Times New Roman"/>
          <w:b/>
          <w:bCs/>
          <w:color w:val="000000" w:themeColor="text1"/>
        </w:rPr>
        <w:t>Lanett</w:t>
      </w:r>
      <w:r w:rsidRPr="2535092B">
        <w:rPr>
          <w:rFonts w:ascii="Times New Roman" w:eastAsia="Times New Roman" w:hAnsi="Times New Roman" w:cs="Times New Roman"/>
          <w:color w:val="000000" w:themeColor="text1"/>
        </w:rPr>
        <w:t xml:space="preserve">: </w:t>
      </w:r>
      <w:r w:rsidRPr="2535092B">
        <w:rPr>
          <w:rFonts w:ascii="Times New Roman" w:eastAsia="Times New Roman" w:hAnsi="Times New Roman" w:cs="Times New Roman"/>
          <w:color w:val="000000" w:themeColor="text1"/>
        </w:rPr>
        <w:lastRenderedPageBreak/>
        <w:t xml:space="preserve">Folding cartons manufacturing facility; </w:t>
      </w:r>
      <w:r w:rsidRPr="2535092B">
        <w:rPr>
          <w:rFonts w:ascii="Times New Roman" w:eastAsia="Times New Roman" w:hAnsi="Times New Roman" w:cs="Times New Roman"/>
          <w:b/>
          <w:bCs/>
          <w:color w:val="000000" w:themeColor="text1"/>
        </w:rPr>
        <w:t>Huntsville</w:t>
      </w:r>
      <w:r w:rsidRPr="2535092B">
        <w:rPr>
          <w:rFonts w:ascii="Times New Roman" w:eastAsia="Times New Roman" w:hAnsi="Times New Roman" w:cs="Times New Roman"/>
          <w:color w:val="000000" w:themeColor="text1"/>
        </w:rPr>
        <w:t xml:space="preserve">: Recycling facility; </w:t>
      </w:r>
      <w:r w:rsidRPr="2535092B">
        <w:rPr>
          <w:rFonts w:ascii="Times New Roman" w:eastAsia="Times New Roman" w:hAnsi="Times New Roman" w:cs="Times New Roman"/>
          <w:b/>
          <w:bCs/>
          <w:color w:val="000000" w:themeColor="text1"/>
        </w:rPr>
        <w:t>Stevenson</w:t>
      </w:r>
      <w:r w:rsidRPr="2535092B">
        <w:rPr>
          <w:rFonts w:ascii="Times New Roman" w:eastAsia="Times New Roman" w:hAnsi="Times New Roman" w:cs="Times New Roman"/>
          <w:color w:val="000000" w:themeColor="text1"/>
        </w:rPr>
        <w:t xml:space="preserve">: Containerboard manufacturing facility; </w:t>
      </w:r>
      <w:r w:rsidRPr="2535092B">
        <w:rPr>
          <w:rFonts w:ascii="Times New Roman" w:eastAsia="Times New Roman" w:hAnsi="Times New Roman" w:cs="Times New Roman"/>
          <w:b/>
          <w:bCs/>
          <w:color w:val="000000" w:themeColor="text1"/>
        </w:rPr>
        <w:t>Demopolis</w:t>
      </w:r>
      <w:r w:rsidRPr="2535092B">
        <w:rPr>
          <w:rFonts w:ascii="Times New Roman" w:eastAsia="Times New Roman" w:hAnsi="Times New Roman" w:cs="Times New Roman"/>
          <w:color w:val="000000" w:themeColor="text1"/>
        </w:rPr>
        <w:t>: Paperboard manufacturing facility.</w:t>
      </w:r>
    </w:p>
    <w:p w14:paraId="6036F3FF" w14:textId="77777777" w:rsidR="00082548" w:rsidRPr="00956486" w:rsidRDefault="00082548" w:rsidP="00082548">
      <w:pPr>
        <w:pStyle w:val="NormalWeb"/>
        <w:rPr>
          <w:sz w:val="22"/>
          <w:szCs w:val="22"/>
        </w:rPr>
      </w:pPr>
      <w:r w:rsidRPr="00956486">
        <w:rPr>
          <w:rStyle w:val="Strong"/>
          <w:rFonts w:eastAsiaTheme="majorEastAsia"/>
          <w:sz w:val="22"/>
          <w:szCs w:val="22"/>
        </w:rPr>
        <w:t>Key Takeaways</w:t>
      </w:r>
    </w:p>
    <w:p w14:paraId="373B796B" w14:textId="77777777" w:rsidR="00082548" w:rsidRPr="00956486" w:rsidRDefault="00082548" w:rsidP="00127934">
      <w:pPr>
        <w:pStyle w:val="NormalWeb"/>
        <w:numPr>
          <w:ilvl w:val="0"/>
          <w:numId w:val="92"/>
        </w:numPr>
        <w:rPr>
          <w:sz w:val="22"/>
          <w:szCs w:val="22"/>
        </w:rPr>
      </w:pPr>
      <w:r w:rsidRPr="00956486">
        <w:rPr>
          <w:sz w:val="22"/>
          <w:szCs w:val="22"/>
        </w:rPr>
        <w:t xml:space="preserve">Smurfit Westrock reported </w:t>
      </w:r>
      <w:r w:rsidRPr="00956486">
        <w:rPr>
          <w:rStyle w:val="Strong"/>
          <w:rFonts w:eastAsiaTheme="majorEastAsia"/>
          <w:sz w:val="22"/>
          <w:szCs w:val="22"/>
        </w:rPr>
        <w:t>Q2 2025 adjusted EBITDA of $1.213 billion</w:t>
      </w:r>
      <w:r w:rsidRPr="00956486">
        <w:rPr>
          <w:sz w:val="22"/>
          <w:szCs w:val="22"/>
        </w:rPr>
        <w:t xml:space="preserve"> and an </w:t>
      </w:r>
      <w:r w:rsidRPr="00956486">
        <w:rPr>
          <w:rStyle w:val="Strong"/>
          <w:rFonts w:eastAsiaTheme="majorEastAsia"/>
          <w:sz w:val="22"/>
          <w:szCs w:val="22"/>
        </w:rPr>
        <w:t>EBITDA margin of 15.3%</w:t>
      </w:r>
      <w:r w:rsidRPr="00956486">
        <w:rPr>
          <w:sz w:val="22"/>
          <w:szCs w:val="22"/>
        </w:rPr>
        <w:t>, supported by early synergy realization and disciplined operational execution.</w:t>
      </w:r>
    </w:p>
    <w:p w14:paraId="7FADDA67" w14:textId="77777777" w:rsidR="00082548" w:rsidRPr="00956486" w:rsidRDefault="00082548" w:rsidP="00127934">
      <w:pPr>
        <w:pStyle w:val="NormalWeb"/>
        <w:numPr>
          <w:ilvl w:val="0"/>
          <w:numId w:val="92"/>
        </w:numPr>
        <w:rPr>
          <w:sz w:val="22"/>
          <w:szCs w:val="22"/>
        </w:rPr>
      </w:pPr>
      <w:r w:rsidRPr="00956486">
        <w:rPr>
          <w:sz w:val="22"/>
          <w:szCs w:val="22"/>
        </w:rPr>
        <w:t xml:space="preserve">The </w:t>
      </w:r>
      <w:r w:rsidRPr="00956486">
        <w:rPr>
          <w:rStyle w:val="Strong"/>
          <w:rFonts w:eastAsiaTheme="majorEastAsia"/>
          <w:sz w:val="22"/>
          <w:szCs w:val="22"/>
        </w:rPr>
        <w:t>North American segment showed significant margin improvement</w:t>
      </w:r>
      <w:r w:rsidRPr="00956486">
        <w:rPr>
          <w:sz w:val="22"/>
          <w:szCs w:val="22"/>
        </w:rPr>
        <w:t>, driven by a sharper commercial focus, synergy capture, and cost takeout actions.</w:t>
      </w:r>
    </w:p>
    <w:p w14:paraId="4BA0AE22" w14:textId="77777777" w:rsidR="00082548" w:rsidRPr="00956486" w:rsidRDefault="00082548" w:rsidP="00127934">
      <w:pPr>
        <w:pStyle w:val="NormalWeb"/>
        <w:numPr>
          <w:ilvl w:val="0"/>
          <w:numId w:val="92"/>
        </w:numPr>
        <w:rPr>
          <w:sz w:val="22"/>
          <w:szCs w:val="22"/>
        </w:rPr>
      </w:pPr>
      <w:r w:rsidRPr="00956486">
        <w:rPr>
          <w:rStyle w:val="Strong"/>
          <w:rFonts w:eastAsiaTheme="majorEastAsia"/>
          <w:sz w:val="22"/>
          <w:szCs w:val="22"/>
        </w:rPr>
        <w:t>Loss-making corrugated operations in North America were cut by approximately 40%</w:t>
      </w:r>
      <w:r w:rsidRPr="00956486">
        <w:rPr>
          <w:sz w:val="22"/>
          <w:szCs w:val="22"/>
        </w:rPr>
        <w:t>, with ~60% still in need of turnaround; these actions free up valuable machine time for better-margin customers.</w:t>
      </w:r>
    </w:p>
    <w:p w14:paraId="6E452CFC" w14:textId="77777777" w:rsidR="00082548" w:rsidRPr="00956486" w:rsidRDefault="00082548" w:rsidP="00127934">
      <w:pPr>
        <w:pStyle w:val="NormalWeb"/>
        <w:numPr>
          <w:ilvl w:val="0"/>
          <w:numId w:val="92"/>
        </w:numPr>
        <w:rPr>
          <w:sz w:val="22"/>
          <w:szCs w:val="22"/>
        </w:rPr>
      </w:pPr>
      <w:r w:rsidRPr="00956486">
        <w:rPr>
          <w:rStyle w:val="Strong"/>
          <w:rFonts w:eastAsiaTheme="majorEastAsia"/>
          <w:sz w:val="22"/>
          <w:szCs w:val="22"/>
        </w:rPr>
        <w:t>Synergy program remains on track</w:t>
      </w:r>
      <w:r w:rsidRPr="00956486">
        <w:rPr>
          <w:sz w:val="22"/>
          <w:szCs w:val="22"/>
        </w:rPr>
        <w:t xml:space="preserve"> to deliver $400 million in run-rate synergies by the end of 2025, with an additional $400 million targeted through further operational improvements.</w:t>
      </w:r>
    </w:p>
    <w:p w14:paraId="6EDBA931" w14:textId="77777777" w:rsidR="00082548" w:rsidRPr="00956486" w:rsidRDefault="00082548" w:rsidP="00127934">
      <w:pPr>
        <w:pStyle w:val="NormalWeb"/>
        <w:numPr>
          <w:ilvl w:val="0"/>
          <w:numId w:val="92"/>
        </w:numPr>
        <w:rPr>
          <w:sz w:val="22"/>
          <w:szCs w:val="22"/>
        </w:rPr>
      </w:pPr>
      <w:r w:rsidRPr="00956486">
        <w:rPr>
          <w:sz w:val="22"/>
          <w:szCs w:val="22"/>
        </w:rPr>
        <w:t xml:space="preserve">The company has already </w:t>
      </w:r>
      <w:r w:rsidRPr="00956486">
        <w:rPr>
          <w:rStyle w:val="Strong"/>
          <w:rFonts w:eastAsiaTheme="majorEastAsia"/>
          <w:sz w:val="22"/>
          <w:szCs w:val="22"/>
        </w:rPr>
        <w:t>invested $1 billion across paper and converting assets</w:t>
      </w:r>
      <w:r w:rsidRPr="00956486">
        <w:rPr>
          <w:sz w:val="22"/>
          <w:szCs w:val="22"/>
        </w:rPr>
        <w:t>, plus ~$200 million committed to high-ROI “quick win” cost-reduction initiatives.</w:t>
      </w:r>
    </w:p>
    <w:p w14:paraId="7BF6C17F" w14:textId="77777777" w:rsidR="00082548" w:rsidRPr="00956486" w:rsidRDefault="00082548" w:rsidP="00082548">
      <w:pPr>
        <w:pStyle w:val="NormalWeb"/>
        <w:rPr>
          <w:sz w:val="22"/>
          <w:szCs w:val="22"/>
        </w:rPr>
      </w:pPr>
      <w:r w:rsidRPr="00956486">
        <w:rPr>
          <w:rStyle w:val="Strong"/>
          <w:rFonts w:eastAsiaTheme="majorEastAsia"/>
          <w:sz w:val="22"/>
          <w:szCs w:val="22"/>
        </w:rPr>
        <w:t>Financial Highlights</w:t>
      </w:r>
    </w:p>
    <w:p w14:paraId="446A195A" w14:textId="77777777" w:rsidR="00082548" w:rsidRPr="00956486" w:rsidRDefault="00082548" w:rsidP="00127934">
      <w:pPr>
        <w:pStyle w:val="NormalWeb"/>
        <w:numPr>
          <w:ilvl w:val="0"/>
          <w:numId w:val="93"/>
        </w:numPr>
        <w:rPr>
          <w:sz w:val="22"/>
          <w:szCs w:val="22"/>
        </w:rPr>
      </w:pPr>
      <w:r w:rsidRPr="00956486">
        <w:rPr>
          <w:rStyle w:val="Strong"/>
          <w:rFonts w:eastAsiaTheme="majorEastAsia"/>
          <w:sz w:val="22"/>
          <w:szCs w:val="22"/>
        </w:rPr>
        <w:t>Revenue for Q2 2025</w:t>
      </w:r>
      <w:r w:rsidRPr="00956486">
        <w:rPr>
          <w:sz w:val="22"/>
          <w:szCs w:val="22"/>
        </w:rPr>
        <w:t xml:space="preserve"> was </w:t>
      </w:r>
      <w:r w:rsidRPr="00956486">
        <w:rPr>
          <w:rStyle w:val="Strong"/>
          <w:rFonts w:eastAsiaTheme="majorEastAsia"/>
          <w:sz w:val="22"/>
          <w:szCs w:val="22"/>
        </w:rPr>
        <w:t>$7.94 billion</w:t>
      </w:r>
      <w:r w:rsidRPr="00956486">
        <w:rPr>
          <w:sz w:val="22"/>
          <w:szCs w:val="22"/>
        </w:rPr>
        <w:t>, in line with expectations (slightly below consensus by 0.02%).</w:t>
      </w:r>
    </w:p>
    <w:p w14:paraId="355B610C" w14:textId="77777777" w:rsidR="00082548" w:rsidRPr="00956486" w:rsidRDefault="00082548" w:rsidP="00127934">
      <w:pPr>
        <w:pStyle w:val="NormalWeb"/>
        <w:numPr>
          <w:ilvl w:val="0"/>
          <w:numId w:val="93"/>
        </w:numPr>
        <w:rPr>
          <w:sz w:val="22"/>
          <w:szCs w:val="22"/>
        </w:rPr>
      </w:pPr>
      <w:r w:rsidRPr="00956486">
        <w:rPr>
          <w:rStyle w:val="Strong"/>
          <w:rFonts w:eastAsiaTheme="majorEastAsia"/>
          <w:sz w:val="22"/>
          <w:szCs w:val="22"/>
        </w:rPr>
        <w:t>Normalized EPS of $0.50</w:t>
      </w:r>
      <w:r w:rsidRPr="00956486">
        <w:rPr>
          <w:sz w:val="22"/>
          <w:szCs w:val="22"/>
        </w:rPr>
        <w:t xml:space="preserve">, which missed consensus of $0.59, representing a </w:t>
      </w:r>
      <w:r w:rsidRPr="00956486">
        <w:rPr>
          <w:rStyle w:val="Strong"/>
          <w:rFonts w:eastAsiaTheme="majorEastAsia"/>
          <w:sz w:val="22"/>
          <w:szCs w:val="22"/>
        </w:rPr>
        <w:t>15.25% shortfall</w:t>
      </w:r>
      <w:r w:rsidRPr="00956486">
        <w:rPr>
          <w:sz w:val="22"/>
          <w:szCs w:val="22"/>
        </w:rPr>
        <w:t>.</w:t>
      </w:r>
    </w:p>
    <w:p w14:paraId="0DA6CA8D" w14:textId="77777777" w:rsidR="00082548" w:rsidRPr="00956486" w:rsidRDefault="00082548" w:rsidP="00127934">
      <w:pPr>
        <w:pStyle w:val="NormalWeb"/>
        <w:numPr>
          <w:ilvl w:val="0"/>
          <w:numId w:val="93"/>
        </w:numPr>
        <w:rPr>
          <w:sz w:val="22"/>
          <w:szCs w:val="22"/>
        </w:rPr>
      </w:pPr>
      <w:r w:rsidRPr="00956486">
        <w:rPr>
          <w:rStyle w:val="Strong"/>
          <w:rFonts w:eastAsiaTheme="majorEastAsia"/>
          <w:sz w:val="22"/>
          <w:szCs w:val="22"/>
        </w:rPr>
        <w:t>Free cash flow</w:t>
      </w:r>
      <w:r w:rsidRPr="00956486">
        <w:rPr>
          <w:sz w:val="22"/>
          <w:szCs w:val="22"/>
        </w:rPr>
        <w:t xml:space="preserve"> for the quarter was </w:t>
      </w:r>
      <w:r w:rsidRPr="00956486">
        <w:rPr>
          <w:rStyle w:val="Strong"/>
          <w:rFonts w:eastAsiaTheme="majorEastAsia"/>
          <w:sz w:val="22"/>
          <w:szCs w:val="22"/>
        </w:rPr>
        <w:t>$387 million</w:t>
      </w:r>
      <w:r w:rsidRPr="00956486">
        <w:rPr>
          <w:sz w:val="22"/>
          <w:szCs w:val="22"/>
        </w:rPr>
        <w:t>, indicating strong liquidity and operational efficiency.</w:t>
      </w:r>
    </w:p>
    <w:p w14:paraId="52B537BF" w14:textId="77777777" w:rsidR="00082548" w:rsidRPr="00956486" w:rsidRDefault="00082548" w:rsidP="00127934">
      <w:pPr>
        <w:pStyle w:val="NormalWeb"/>
        <w:numPr>
          <w:ilvl w:val="0"/>
          <w:numId w:val="93"/>
        </w:numPr>
        <w:rPr>
          <w:sz w:val="22"/>
          <w:szCs w:val="22"/>
        </w:rPr>
      </w:pPr>
      <w:r w:rsidRPr="00956486">
        <w:rPr>
          <w:rStyle w:val="Strong"/>
          <w:rFonts w:eastAsiaTheme="majorEastAsia"/>
          <w:sz w:val="22"/>
          <w:szCs w:val="22"/>
        </w:rPr>
        <w:t xml:space="preserve">Dividend </w:t>
      </w:r>
      <w:proofErr w:type="gramStart"/>
      <w:r w:rsidRPr="00956486">
        <w:rPr>
          <w:rStyle w:val="Strong"/>
          <w:rFonts w:eastAsiaTheme="majorEastAsia"/>
          <w:sz w:val="22"/>
          <w:szCs w:val="22"/>
        </w:rPr>
        <w:t>declared</w:t>
      </w:r>
      <w:r w:rsidRPr="00956486">
        <w:rPr>
          <w:sz w:val="22"/>
          <w:szCs w:val="22"/>
        </w:rPr>
        <w:t xml:space="preserve"> of</w:t>
      </w:r>
      <w:proofErr w:type="gramEnd"/>
      <w:r w:rsidRPr="00956486">
        <w:rPr>
          <w:sz w:val="22"/>
          <w:szCs w:val="22"/>
        </w:rPr>
        <w:t xml:space="preserve"> </w:t>
      </w:r>
      <w:r w:rsidRPr="00956486">
        <w:rPr>
          <w:rStyle w:val="Strong"/>
          <w:rFonts w:eastAsiaTheme="majorEastAsia"/>
          <w:sz w:val="22"/>
          <w:szCs w:val="22"/>
        </w:rPr>
        <w:t>$0.4308 per share</w:t>
      </w:r>
      <w:r w:rsidRPr="00956486">
        <w:rPr>
          <w:sz w:val="22"/>
          <w:szCs w:val="22"/>
        </w:rPr>
        <w:t>, in line with SKG’s historical progressive dividend policy.</w:t>
      </w:r>
    </w:p>
    <w:p w14:paraId="0D2880E4" w14:textId="77777777" w:rsidR="00082548" w:rsidRPr="00956486" w:rsidRDefault="00082548" w:rsidP="00127934">
      <w:pPr>
        <w:pStyle w:val="NormalWeb"/>
        <w:numPr>
          <w:ilvl w:val="0"/>
          <w:numId w:val="93"/>
        </w:numPr>
        <w:rPr>
          <w:sz w:val="22"/>
          <w:szCs w:val="22"/>
        </w:rPr>
      </w:pPr>
      <w:r w:rsidRPr="00956486">
        <w:rPr>
          <w:rStyle w:val="Strong"/>
          <w:rFonts w:eastAsiaTheme="majorEastAsia"/>
          <w:sz w:val="22"/>
          <w:szCs w:val="22"/>
        </w:rPr>
        <w:t>Fitch upgraded long-term debt rating to BBB+ with a stable outlook</w:t>
      </w:r>
      <w:r w:rsidRPr="00956486">
        <w:rPr>
          <w:sz w:val="22"/>
          <w:szCs w:val="22"/>
        </w:rPr>
        <w:t>, reflecting confidence in Smurfit Westrock's strategy and performance.</w:t>
      </w:r>
    </w:p>
    <w:p w14:paraId="65E570E2" w14:textId="77777777" w:rsidR="00082548" w:rsidRPr="00956486" w:rsidRDefault="00082548" w:rsidP="00082548">
      <w:pPr>
        <w:pStyle w:val="NormalWeb"/>
        <w:rPr>
          <w:sz w:val="22"/>
          <w:szCs w:val="22"/>
        </w:rPr>
      </w:pPr>
      <w:r w:rsidRPr="00956486">
        <w:rPr>
          <w:rStyle w:val="Strong"/>
          <w:rFonts w:eastAsiaTheme="majorEastAsia"/>
          <w:sz w:val="22"/>
          <w:szCs w:val="22"/>
        </w:rPr>
        <w:t>Operational Highlights</w:t>
      </w:r>
    </w:p>
    <w:p w14:paraId="2E2887F0" w14:textId="77777777" w:rsidR="00082548" w:rsidRPr="00956486" w:rsidRDefault="00082548" w:rsidP="00127934">
      <w:pPr>
        <w:pStyle w:val="NormalWeb"/>
        <w:numPr>
          <w:ilvl w:val="0"/>
          <w:numId w:val="94"/>
        </w:numPr>
        <w:rPr>
          <w:sz w:val="22"/>
          <w:szCs w:val="22"/>
        </w:rPr>
      </w:pPr>
      <w:r w:rsidRPr="00956486">
        <w:rPr>
          <w:sz w:val="22"/>
          <w:szCs w:val="22"/>
        </w:rPr>
        <w:t xml:space="preserve">North America delivered </w:t>
      </w:r>
      <w:r w:rsidRPr="00956486">
        <w:rPr>
          <w:rStyle w:val="Strong"/>
          <w:rFonts w:eastAsiaTheme="majorEastAsia"/>
          <w:sz w:val="22"/>
          <w:szCs w:val="22"/>
        </w:rPr>
        <w:t>net sales of $4.8 billion</w:t>
      </w:r>
      <w:r w:rsidRPr="00956486">
        <w:rPr>
          <w:sz w:val="22"/>
          <w:szCs w:val="22"/>
        </w:rPr>
        <w:t xml:space="preserve">, </w:t>
      </w:r>
      <w:r w:rsidRPr="00956486">
        <w:rPr>
          <w:rStyle w:val="Strong"/>
          <w:rFonts w:eastAsiaTheme="majorEastAsia"/>
          <w:sz w:val="22"/>
          <w:szCs w:val="22"/>
        </w:rPr>
        <w:t>EBITDA of $752 million</w:t>
      </w:r>
      <w:r w:rsidRPr="00956486">
        <w:rPr>
          <w:sz w:val="22"/>
          <w:szCs w:val="22"/>
        </w:rPr>
        <w:t xml:space="preserve">, and an </w:t>
      </w:r>
      <w:r w:rsidRPr="00956486">
        <w:rPr>
          <w:rStyle w:val="Strong"/>
          <w:rFonts w:eastAsiaTheme="majorEastAsia"/>
          <w:sz w:val="22"/>
          <w:szCs w:val="22"/>
        </w:rPr>
        <w:t>EBITDA margin of 15.8%</w:t>
      </w:r>
      <w:r w:rsidRPr="00956486">
        <w:rPr>
          <w:sz w:val="22"/>
          <w:szCs w:val="22"/>
        </w:rPr>
        <w:t xml:space="preserve">, with pricing gains and synergy </w:t>
      </w:r>
      <w:proofErr w:type="gramStart"/>
      <w:r w:rsidRPr="00956486">
        <w:rPr>
          <w:sz w:val="22"/>
          <w:szCs w:val="22"/>
        </w:rPr>
        <w:t>realization</w:t>
      </w:r>
      <w:proofErr w:type="gramEnd"/>
      <w:r w:rsidRPr="00956486">
        <w:rPr>
          <w:sz w:val="22"/>
          <w:szCs w:val="22"/>
        </w:rPr>
        <w:t xml:space="preserve"> offsetting volume declines and cost pressures.</w:t>
      </w:r>
    </w:p>
    <w:p w14:paraId="63F3C300" w14:textId="77777777" w:rsidR="00082548" w:rsidRPr="00956486" w:rsidRDefault="00082548" w:rsidP="00127934">
      <w:pPr>
        <w:pStyle w:val="NormalWeb"/>
        <w:numPr>
          <w:ilvl w:val="0"/>
          <w:numId w:val="94"/>
        </w:numPr>
        <w:rPr>
          <w:sz w:val="22"/>
          <w:szCs w:val="22"/>
        </w:rPr>
      </w:pPr>
      <w:r w:rsidRPr="00956486">
        <w:rPr>
          <w:sz w:val="22"/>
          <w:szCs w:val="22"/>
        </w:rPr>
        <w:t xml:space="preserve">Corrugated box volumes in North America were </w:t>
      </w:r>
      <w:r w:rsidRPr="00956486">
        <w:rPr>
          <w:rStyle w:val="Strong"/>
          <w:rFonts w:eastAsiaTheme="majorEastAsia"/>
          <w:sz w:val="22"/>
          <w:szCs w:val="22"/>
        </w:rPr>
        <w:t>down 4.5%</w:t>
      </w:r>
      <w:r w:rsidRPr="00956486">
        <w:rPr>
          <w:sz w:val="22"/>
          <w:szCs w:val="22"/>
        </w:rPr>
        <w:t xml:space="preserve"> on a same-day basis, consistent with a </w:t>
      </w:r>
      <w:r w:rsidRPr="00956486">
        <w:rPr>
          <w:rStyle w:val="Strong"/>
          <w:rFonts w:eastAsiaTheme="majorEastAsia"/>
          <w:sz w:val="22"/>
          <w:szCs w:val="22"/>
        </w:rPr>
        <w:t>value-over-volume strategy</w:t>
      </w:r>
      <w:r w:rsidRPr="00956486">
        <w:rPr>
          <w:sz w:val="22"/>
          <w:szCs w:val="22"/>
        </w:rPr>
        <w:t>.</w:t>
      </w:r>
    </w:p>
    <w:p w14:paraId="198CB56A" w14:textId="77777777" w:rsidR="00082548" w:rsidRPr="00956486" w:rsidRDefault="00082548" w:rsidP="00127934">
      <w:pPr>
        <w:pStyle w:val="NormalWeb"/>
        <w:numPr>
          <w:ilvl w:val="0"/>
          <w:numId w:val="94"/>
        </w:numPr>
        <w:rPr>
          <w:sz w:val="22"/>
          <w:szCs w:val="22"/>
        </w:rPr>
      </w:pPr>
      <w:r w:rsidRPr="00956486">
        <w:rPr>
          <w:sz w:val="22"/>
          <w:szCs w:val="22"/>
        </w:rPr>
        <w:t xml:space="preserve">Europe, Middle East &amp; Asia Pacific (EMEA &amp; APAC) reported </w:t>
      </w:r>
      <w:r w:rsidRPr="00956486">
        <w:rPr>
          <w:rStyle w:val="Strong"/>
          <w:rFonts w:eastAsiaTheme="majorEastAsia"/>
          <w:sz w:val="22"/>
          <w:szCs w:val="22"/>
        </w:rPr>
        <w:t>$2.8 billion in sales</w:t>
      </w:r>
      <w:r w:rsidRPr="00956486">
        <w:rPr>
          <w:sz w:val="22"/>
          <w:szCs w:val="22"/>
        </w:rPr>
        <w:t xml:space="preserve"> and </w:t>
      </w:r>
      <w:r w:rsidRPr="00956486">
        <w:rPr>
          <w:rStyle w:val="Strong"/>
          <w:rFonts w:eastAsiaTheme="majorEastAsia"/>
          <w:sz w:val="22"/>
          <w:szCs w:val="22"/>
        </w:rPr>
        <w:t>$372 million in EBITDA (13.4% margin)</w:t>
      </w:r>
      <w:r w:rsidRPr="00956486">
        <w:rPr>
          <w:sz w:val="22"/>
          <w:szCs w:val="22"/>
        </w:rPr>
        <w:t>, impacted by energy, fiber, and labor cost headwinds.</w:t>
      </w:r>
    </w:p>
    <w:p w14:paraId="461851E3" w14:textId="77777777" w:rsidR="00082548" w:rsidRPr="00956486" w:rsidRDefault="00082548" w:rsidP="00127934">
      <w:pPr>
        <w:pStyle w:val="NormalWeb"/>
        <w:numPr>
          <w:ilvl w:val="0"/>
          <w:numId w:val="94"/>
        </w:numPr>
        <w:rPr>
          <w:sz w:val="22"/>
          <w:szCs w:val="22"/>
        </w:rPr>
      </w:pPr>
      <w:r w:rsidRPr="00956486">
        <w:rPr>
          <w:sz w:val="22"/>
          <w:szCs w:val="22"/>
        </w:rPr>
        <w:t xml:space="preserve">Latin America posted </w:t>
      </w:r>
      <w:r w:rsidRPr="00956486">
        <w:rPr>
          <w:rStyle w:val="Strong"/>
          <w:rFonts w:eastAsiaTheme="majorEastAsia"/>
          <w:sz w:val="22"/>
          <w:szCs w:val="22"/>
        </w:rPr>
        <w:t>$0.5 billion in revenue</w:t>
      </w:r>
      <w:r w:rsidRPr="00956486">
        <w:rPr>
          <w:sz w:val="22"/>
          <w:szCs w:val="22"/>
        </w:rPr>
        <w:t xml:space="preserve">, </w:t>
      </w:r>
      <w:r w:rsidRPr="00956486">
        <w:rPr>
          <w:rStyle w:val="Strong"/>
          <w:rFonts w:eastAsiaTheme="majorEastAsia"/>
          <w:sz w:val="22"/>
          <w:szCs w:val="22"/>
        </w:rPr>
        <w:t>$123 million in EBITDA</w:t>
      </w:r>
      <w:r w:rsidRPr="00956486">
        <w:rPr>
          <w:sz w:val="22"/>
          <w:szCs w:val="22"/>
        </w:rPr>
        <w:t xml:space="preserve">, and a </w:t>
      </w:r>
      <w:r w:rsidRPr="00956486">
        <w:rPr>
          <w:rStyle w:val="Strong"/>
          <w:rFonts w:eastAsiaTheme="majorEastAsia"/>
          <w:sz w:val="22"/>
          <w:szCs w:val="22"/>
        </w:rPr>
        <w:t>23%+ EBITDA margin</w:t>
      </w:r>
      <w:r w:rsidRPr="00956486">
        <w:rPr>
          <w:sz w:val="22"/>
          <w:szCs w:val="22"/>
        </w:rPr>
        <w:t xml:space="preserve">, with </w:t>
      </w:r>
      <w:r w:rsidRPr="00956486">
        <w:rPr>
          <w:rStyle w:val="Strong"/>
          <w:rFonts w:eastAsiaTheme="majorEastAsia"/>
          <w:sz w:val="22"/>
          <w:szCs w:val="22"/>
        </w:rPr>
        <w:t>strong pricing power</w:t>
      </w:r>
      <w:r w:rsidRPr="00956486">
        <w:rPr>
          <w:sz w:val="22"/>
          <w:szCs w:val="22"/>
        </w:rPr>
        <w:t xml:space="preserve"> and a strategic exit from unprofitable contracts in Brazil.</w:t>
      </w:r>
    </w:p>
    <w:p w14:paraId="2E0A5C04" w14:textId="77777777" w:rsidR="00082548" w:rsidRPr="00956486" w:rsidRDefault="00082548" w:rsidP="00127934">
      <w:pPr>
        <w:pStyle w:val="NormalWeb"/>
        <w:numPr>
          <w:ilvl w:val="0"/>
          <w:numId w:val="94"/>
        </w:numPr>
        <w:rPr>
          <w:sz w:val="22"/>
          <w:szCs w:val="22"/>
        </w:rPr>
      </w:pPr>
      <w:r w:rsidRPr="00956486">
        <w:rPr>
          <w:sz w:val="22"/>
          <w:szCs w:val="22"/>
        </w:rPr>
        <w:t xml:space="preserve">The company’s </w:t>
      </w:r>
      <w:r w:rsidRPr="00956486">
        <w:rPr>
          <w:rStyle w:val="Strong"/>
          <w:rFonts w:eastAsiaTheme="majorEastAsia"/>
          <w:sz w:val="22"/>
          <w:szCs w:val="22"/>
        </w:rPr>
        <w:t>decentralized model</w:t>
      </w:r>
      <w:r w:rsidRPr="00956486">
        <w:rPr>
          <w:sz w:val="22"/>
          <w:szCs w:val="22"/>
        </w:rPr>
        <w:t xml:space="preserve"> and performance-based culture are cited as key levers in driving efficiency and accountability at the plant level.</w:t>
      </w:r>
    </w:p>
    <w:p w14:paraId="5E78C42B" w14:textId="77777777" w:rsidR="00082548" w:rsidRPr="00956486" w:rsidRDefault="00082548" w:rsidP="00082548">
      <w:pPr>
        <w:pStyle w:val="NormalWeb"/>
        <w:rPr>
          <w:sz w:val="22"/>
          <w:szCs w:val="22"/>
        </w:rPr>
      </w:pPr>
      <w:r w:rsidRPr="00956486">
        <w:rPr>
          <w:rStyle w:val="Strong"/>
          <w:rFonts w:eastAsiaTheme="majorEastAsia"/>
          <w:sz w:val="22"/>
          <w:szCs w:val="22"/>
        </w:rPr>
        <w:t>Business Expansions &amp; Capital Expenditure Plans</w:t>
      </w:r>
    </w:p>
    <w:p w14:paraId="5A0A80BC" w14:textId="77777777" w:rsidR="00082548" w:rsidRPr="00956486" w:rsidRDefault="00082548" w:rsidP="00127934">
      <w:pPr>
        <w:pStyle w:val="NormalWeb"/>
        <w:numPr>
          <w:ilvl w:val="0"/>
          <w:numId w:val="95"/>
        </w:numPr>
        <w:rPr>
          <w:sz w:val="22"/>
          <w:szCs w:val="22"/>
        </w:rPr>
      </w:pPr>
      <w:proofErr w:type="spellStart"/>
      <w:r w:rsidRPr="00956486">
        <w:rPr>
          <w:rStyle w:val="Strong"/>
          <w:rFonts w:eastAsiaTheme="majorEastAsia"/>
          <w:sz w:val="22"/>
          <w:szCs w:val="22"/>
        </w:rPr>
        <w:t>CapEx</w:t>
      </w:r>
      <w:proofErr w:type="spellEnd"/>
      <w:r w:rsidRPr="00956486">
        <w:rPr>
          <w:rStyle w:val="Strong"/>
          <w:rFonts w:eastAsiaTheme="majorEastAsia"/>
          <w:sz w:val="22"/>
          <w:szCs w:val="22"/>
        </w:rPr>
        <w:t xml:space="preserve"> guidance for FY 2025 is $2.2 to $2.4 billion</w:t>
      </w:r>
      <w:r w:rsidRPr="00956486">
        <w:rPr>
          <w:sz w:val="22"/>
          <w:szCs w:val="22"/>
        </w:rPr>
        <w:t>, which includes both strategic and quick-win investments.</w:t>
      </w:r>
    </w:p>
    <w:p w14:paraId="5FF98157" w14:textId="77777777" w:rsidR="00082548" w:rsidRPr="00956486" w:rsidRDefault="00082548" w:rsidP="00127934">
      <w:pPr>
        <w:pStyle w:val="NormalWeb"/>
        <w:numPr>
          <w:ilvl w:val="0"/>
          <w:numId w:val="95"/>
        </w:numPr>
        <w:rPr>
          <w:sz w:val="22"/>
          <w:szCs w:val="22"/>
        </w:rPr>
      </w:pPr>
      <w:r w:rsidRPr="00956486">
        <w:rPr>
          <w:sz w:val="22"/>
          <w:szCs w:val="22"/>
        </w:rPr>
        <w:t xml:space="preserve">A </w:t>
      </w:r>
      <w:r w:rsidRPr="00956486">
        <w:rPr>
          <w:rStyle w:val="Strong"/>
          <w:rFonts w:eastAsiaTheme="majorEastAsia"/>
          <w:sz w:val="22"/>
          <w:szCs w:val="22"/>
        </w:rPr>
        <w:t>$1 billion investment</w:t>
      </w:r>
      <w:r w:rsidRPr="00956486">
        <w:rPr>
          <w:sz w:val="22"/>
          <w:szCs w:val="22"/>
        </w:rPr>
        <w:t xml:space="preserve"> has already been made post-merger, evenly split between paper and converting assets.</w:t>
      </w:r>
    </w:p>
    <w:p w14:paraId="01E3C6AB" w14:textId="77777777" w:rsidR="00082548" w:rsidRPr="00956486" w:rsidRDefault="00082548" w:rsidP="00127934">
      <w:pPr>
        <w:pStyle w:val="NormalWeb"/>
        <w:numPr>
          <w:ilvl w:val="0"/>
          <w:numId w:val="95"/>
        </w:numPr>
        <w:rPr>
          <w:sz w:val="22"/>
          <w:szCs w:val="22"/>
        </w:rPr>
      </w:pPr>
      <w:r w:rsidRPr="00956486">
        <w:rPr>
          <w:sz w:val="22"/>
          <w:szCs w:val="22"/>
        </w:rPr>
        <w:lastRenderedPageBreak/>
        <w:t xml:space="preserve">An additional </w:t>
      </w:r>
      <w:r w:rsidRPr="00956486">
        <w:rPr>
          <w:rStyle w:val="Strong"/>
          <w:rFonts w:eastAsiaTheme="majorEastAsia"/>
          <w:sz w:val="22"/>
          <w:szCs w:val="22"/>
        </w:rPr>
        <w:t xml:space="preserve">$200 million in </w:t>
      </w:r>
      <w:proofErr w:type="spellStart"/>
      <w:r w:rsidRPr="00956486">
        <w:rPr>
          <w:rStyle w:val="Strong"/>
          <w:rFonts w:eastAsiaTheme="majorEastAsia"/>
          <w:sz w:val="22"/>
          <w:szCs w:val="22"/>
        </w:rPr>
        <w:t>CapEx</w:t>
      </w:r>
      <w:proofErr w:type="spellEnd"/>
      <w:r w:rsidRPr="00956486">
        <w:rPr>
          <w:rStyle w:val="Strong"/>
          <w:rFonts w:eastAsiaTheme="majorEastAsia"/>
          <w:sz w:val="22"/>
          <w:szCs w:val="22"/>
        </w:rPr>
        <w:t xml:space="preserve"> is planned over the next 18 months</w:t>
      </w:r>
      <w:r w:rsidRPr="00956486">
        <w:rPr>
          <w:sz w:val="22"/>
          <w:szCs w:val="22"/>
        </w:rPr>
        <w:t xml:space="preserve"> for projects with minimum expected returns of 20%+.</w:t>
      </w:r>
    </w:p>
    <w:p w14:paraId="1A493C5B" w14:textId="77777777" w:rsidR="00082548" w:rsidRPr="00956486" w:rsidRDefault="00082548" w:rsidP="00127934">
      <w:pPr>
        <w:pStyle w:val="NormalWeb"/>
        <w:numPr>
          <w:ilvl w:val="0"/>
          <w:numId w:val="95"/>
        </w:numPr>
        <w:rPr>
          <w:sz w:val="22"/>
          <w:szCs w:val="22"/>
        </w:rPr>
      </w:pPr>
      <w:r w:rsidRPr="00956486">
        <w:rPr>
          <w:sz w:val="22"/>
          <w:szCs w:val="22"/>
        </w:rPr>
        <w:t xml:space="preserve">Capacity optimization efforts include </w:t>
      </w:r>
      <w:r w:rsidRPr="00956486">
        <w:rPr>
          <w:rStyle w:val="Strong"/>
          <w:rFonts w:eastAsiaTheme="majorEastAsia"/>
          <w:sz w:val="22"/>
          <w:szCs w:val="22"/>
        </w:rPr>
        <w:t>permanent closures of 600,000 tons</w:t>
      </w:r>
      <w:r w:rsidRPr="00956486">
        <w:rPr>
          <w:sz w:val="22"/>
          <w:szCs w:val="22"/>
        </w:rPr>
        <w:t>, targeting inefficiencies and nonstrategic assets.</w:t>
      </w:r>
    </w:p>
    <w:p w14:paraId="069D2550" w14:textId="77777777" w:rsidR="00082548" w:rsidRPr="00956486" w:rsidRDefault="00082548" w:rsidP="00127934">
      <w:pPr>
        <w:pStyle w:val="NormalWeb"/>
        <w:numPr>
          <w:ilvl w:val="0"/>
          <w:numId w:val="95"/>
        </w:numPr>
        <w:rPr>
          <w:sz w:val="22"/>
          <w:szCs w:val="22"/>
        </w:rPr>
      </w:pPr>
      <w:r w:rsidRPr="00956486">
        <w:rPr>
          <w:sz w:val="22"/>
          <w:szCs w:val="22"/>
        </w:rPr>
        <w:t xml:space="preserve">Smurfit Westrock is developing a </w:t>
      </w:r>
      <w:r w:rsidRPr="00956486">
        <w:rPr>
          <w:rStyle w:val="Strong"/>
          <w:rFonts w:eastAsiaTheme="majorEastAsia"/>
          <w:sz w:val="22"/>
          <w:szCs w:val="22"/>
        </w:rPr>
        <w:t>5-year strategic plan</w:t>
      </w:r>
      <w:r w:rsidRPr="00956486">
        <w:rPr>
          <w:sz w:val="22"/>
          <w:szCs w:val="22"/>
        </w:rPr>
        <w:t xml:space="preserve">, with further </w:t>
      </w:r>
      <w:proofErr w:type="spellStart"/>
      <w:r w:rsidRPr="00956486">
        <w:rPr>
          <w:sz w:val="22"/>
          <w:szCs w:val="22"/>
        </w:rPr>
        <w:t>CapEx</w:t>
      </w:r>
      <w:proofErr w:type="spellEnd"/>
      <w:r w:rsidRPr="00956486">
        <w:rPr>
          <w:sz w:val="22"/>
          <w:szCs w:val="22"/>
        </w:rPr>
        <w:t xml:space="preserve"> direction expected by late 2025 and formal rollout in February 2026.</w:t>
      </w:r>
    </w:p>
    <w:p w14:paraId="55AD25A9" w14:textId="77777777" w:rsidR="00082548" w:rsidRPr="00956486" w:rsidRDefault="00082548" w:rsidP="00082548">
      <w:pPr>
        <w:pStyle w:val="NormalWeb"/>
        <w:rPr>
          <w:sz w:val="22"/>
          <w:szCs w:val="22"/>
        </w:rPr>
      </w:pPr>
      <w:r w:rsidRPr="00956486">
        <w:rPr>
          <w:rStyle w:val="Strong"/>
          <w:rFonts w:eastAsiaTheme="majorEastAsia"/>
          <w:sz w:val="22"/>
          <w:szCs w:val="22"/>
        </w:rPr>
        <w:t>Segment Performance and Outlook</w:t>
      </w:r>
    </w:p>
    <w:p w14:paraId="6E8A95B0" w14:textId="77777777" w:rsidR="00082548" w:rsidRPr="00956486" w:rsidRDefault="00082548" w:rsidP="00127934">
      <w:pPr>
        <w:pStyle w:val="NormalWeb"/>
        <w:numPr>
          <w:ilvl w:val="0"/>
          <w:numId w:val="96"/>
        </w:numPr>
        <w:rPr>
          <w:sz w:val="22"/>
          <w:szCs w:val="22"/>
        </w:rPr>
      </w:pPr>
      <w:r w:rsidRPr="00956486">
        <w:rPr>
          <w:rStyle w:val="Strong"/>
          <w:rFonts w:eastAsiaTheme="majorEastAsia"/>
          <w:sz w:val="22"/>
          <w:szCs w:val="22"/>
        </w:rPr>
        <w:t>North America</w:t>
      </w:r>
      <w:r w:rsidRPr="00956486">
        <w:rPr>
          <w:sz w:val="22"/>
          <w:szCs w:val="22"/>
        </w:rPr>
        <w:t>:</w:t>
      </w:r>
    </w:p>
    <w:p w14:paraId="559D8436" w14:textId="77777777" w:rsidR="00082548" w:rsidRPr="00956486" w:rsidRDefault="00082548" w:rsidP="00127934">
      <w:pPr>
        <w:pStyle w:val="NormalWeb"/>
        <w:numPr>
          <w:ilvl w:val="1"/>
          <w:numId w:val="96"/>
        </w:numPr>
        <w:rPr>
          <w:sz w:val="22"/>
          <w:szCs w:val="22"/>
        </w:rPr>
      </w:pPr>
      <w:r w:rsidRPr="00956486">
        <w:rPr>
          <w:sz w:val="22"/>
          <w:szCs w:val="22"/>
        </w:rPr>
        <w:t xml:space="preserve">Transition from loss-making to profitable corrugated operations is underway, with </w:t>
      </w:r>
      <w:r w:rsidRPr="00956486">
        <w:rPr>
          <w:rStyle w:val="Strong"/>
          <w:rFonts w:eastAsiaTheme="majorEastAsia"/>
          <w:sz w:val="22"/>
          <w:szCs w:val="22"/>
        </w:rPr>
        <w:t>~40% of loss-making plants turned around</w:t>
      </w:r>
      <w:r w:rsidRPr="00956486">
        <w:rPr>
          <w:sz w:val="22"/>
          <w:szCs w:val="22"/>
        </w:rPr>
        <w:t>.</w:t>
      </w:r>
    </w:p>
    <w:p w14:paraId="16E5EE73" w14:textId="77777777" w:rsidR="00082548" w:rsidRPr="00956486" w:rsidRDefault="00082548" w:rsidP="00127934">
      <w:pPr>
        <w:pStyle w:val="NormalWeb"/>
        <w:numPr>
          <w:ilvl w:val="1"/>
          <w:numId w:val="96"/>
        </w:numPr>
        <w:rPr>
          <w:sz w:val="22"/>
          <w:szCs w:val="22"/>
        </w:rPr>
      </w:pPr>
      <w:r w:rsidRPr="00956486">
        <w:rPr>
          <w:sz w:val="22"/>
          <w:szCs w:val="22"/>
        </w:rPr>
        <w:t>Target is to convert most of the remaining 60% within the next 12 months.</w:t>
      </w:r>
    </w:p>
    <w:p w14:paraId="0DF97BA9" w14:textId="77777777" w:rsidR="00082548" w:rsidRPr="00956486" w:rsidRDefault="00082548" w:rsidP="00127934">
      <w:pPr>
        <w:pStyle w:val="NormalWeb"/>
        <w:numPr>
          <w:ilvl w:val="1"/>
          <w:numId w:val="96"/>
        </w:numPr>
        <w:rPr>
          <w:sz w:val="22"/>
          <w:szCs w:val="22"/>
        </w:rPr>
      </w:pPr>
      <w:r w:rsidRPr="00956486">
        <w:rPr>
          <w:sz w:val="22"/>
          <w:szCs w:val="22"/>
        </w:rPr>
        <w:t>Integration levels: ~</w:t>
      </w:r>
      <w:r w:rsidRPr="00956486">
        <w:rPr>
          <w:rStyle w:val="Strong"/>
          <w:rFonts w:eastAsiaTheme="majorEastAsia"/>
          <w:sz w:val="22"/>
          <w:szCs w:val="22"/>
        </w:rPr>
        <w:t>90% on containerboard</w:t>
      </w:r>
      <w:r w:rsidRPr="00956486">
        <w:rPr>
          <w:sz w:val="22"/>
          <w:szCs w:val="22"/>
        </w:rPr>
        <w:t>, ~</w:t>
      </w:r>
      <w:r w:rsidRPr="00956486">
        <w:rPr>
          <w:rStyle w:val="Strong"/>
          <w:rFonts w:eastAsiaTheme="majorEastAsia"/>
          <w:sz w:val="22"/>
          <w:szCs w:val="22"/>
        </w:rPr>
        <w:t>60% on consumer</w:t>
      </w:r>
      <w:r w:rsidRPr="00956486">
        <w:rPr>
          <w:sz w:val="22"/>
          <w:szCs w:val="22"/>
        </w:rPr>
        <w:t xml:space="preserve"> side.</w:t>
      </w:r>
    </w:p>
    <w:p w14:paraId="3709B99E" w14:textId="77777777" w:rsidR="00082548" w:rsidRPr="00956486" w:rsidRDefault="00082548" w:rsidP="00127934">
      <w:pPr>
        <w:pStyle w:val="NormalWeb"/>
        <w:numPr>
          <w:ilvl w:val="1"/>
          <w:numId w:val="96"/>
        </w:numPr>
        <w:rPr>
          <w:sz w:val="22"/>
          <w:szCs w:val="22"/>
        </w:rPr>
      </w:pPr>
      <w:r w:rsidRPr="00956486">
        <w:rPr>
          <w:sz w:val="22"/>
          <w:szCs w:val="22"/>
        </w:rPr>
        <w:t xml:space="preserve">Consumer packaging volumes were </w:t>
      </w:r>
      <w:r w:rsidRPr="00956486">
        <w:rPr>
          <w:rStyle w:val="Strong"/>
          <w:rFonts w:eastAsiaTheme="majorEastAsia"/>
          <w:sz w:val="22"/>
          <w:szCs w:val="22"/>
        </w:rPr>
        <w:t>down 2.7%</w:t>
      </w:r>
      <w:r w:rsidRPr="00956486">
        <w:rPr>
          <w:sz w:val="22"/>
          <w:szCs w:val="22"/>
        </w:rPr>
        <w:t>, including weakness in Mexico.</w:t>
      </w:r>
    </w:p>
    <w:p w14:paraId="0B22B739" w14:textId="77777777" w:rsidR="00082548" w:rsidRPr="00956486" w:rsidRDefault="00082548" w:rsidP="00127934">
      <w:pPr>
        <w:pStyle w:val="NormalWeb"/>
        <w:numPr>
          <w:ilvl w:val="1"/>
          <w:numId w:val="96"/>
        </w:numPr>
        <w:rPr>
          <w:sz w:val="22"/>
          <w:szCs w:val="22"/>
        </w:rPr>
      </w:pPr>
      <w:r w:rsidRPr="00956486">
        <w:rPr>
          <w:sz w:val="22"/>
          <w:szCs w:val="22"/>
        </w:rPr>
        <w:t xml:space="preserve">Margins </w:t>
      </w:r>
      <w:proofErr w:type="gramStart"/>
      <w:r w:rsidRPr="00956486">
        <w:rPr>
          <w:sz w:val="22"/>
          <w:szCs w:val="22"/>
        </w:rPr>
        <w:t>expected</w:t>
      </w:r>
      <w:proofErr w:type="gramEnd"/>
      <w:r w:rsidRPr="00956486">
        <w:rPr>
          <w:sz w:val="22"/>
          <w:szCs w:val="22"/>
        </w:rPr>
        <w:t xml:space="preserve"> to improve as </w:t>
      </w:r>
      <w:r w:rsidRPr="00956486">
        <w:rPr>
          <w:rStyle w:val="Strong"/>
          <w:rFonts w:eastAsiaTheme="majorEastAsia"/>
          <w:sz w:val="22"/>
          <w:szCs w:val="22"/>
        </w:rPr>
        <w:t xml:space="preserve">value-focused customer mix </w:t>
      </w:r>
      <w:proofErr w:type="gramStart"/>
      <w:r w:rsidRPr="00956486">
        <w:rPr>
          <w:rStyle w:val="Strong"/>
          <w:rFonts w:eastAsiaTheme="majorEastAsia"/>
          <w:sz w:val="22"/>
          <w:szCs w:val="22"/>
        </w:rPr>
        <w:t>increases</w:t>
      </w:r>
      <w:proofErr w:type="gramEnd"/>
      <w:r w:rsidRPr="00956486">
        <w:rPr>
          <w:sz w:val="22"/>
          <w:szCs w:val="22"/>
        </w:rPr>
        <w:t xml:space="preserve"> and innovation is deployed.</w:t>
      </w:r>
    </w:p>
    <w:p w14:paraId="4DDBAA7F" w14:textId="77777777" w:rsidR="00082548" w:rsidRPr="00956486" w:rsidRDefault="00082548" w:rsidP="00127934">
      <w:pPr>
        <w:pStyle w:val="NormalWeb"/>
        <w:numPr>
          <w:ilvl w:val="0"/>
          <w:numId w:val="96"/>
        </w:numPr>
        <w:rPr>
          <w:sz w:val="22"/>
          <w:szCs w:val="22"/>
        </w:rPr>
      </w:pPr>
      <w:r w:rsidRPr="00956486">
        <w:rPr>
          <w:rStyle w:val="Strong"/>
          <w:rFonts w:eastAsiaTheme="majorEastAsia"/>
          <w:sz w:val="22"/>
          <w:szCs w:val="22"/>
        </w:rPr>
        <w:t>EMEA &amp; APAC</w:t>
      </w:r>
      <w:r w:rsidRPr="00956486">
        <w:rPr>
          <w:sz w:val="22"/>
          <w:szCs w:val="22"/>
        </w:rPr>
        <w:t>:</w:t>
      </w:r>
    </w:p>
    <w:p w14:paraId="7F28AB17" w14:textId="77777777" w:rsidR="00082548" w:rsidRPr="00956486" w:rsidRDefault="00082548" w:rsidP="00127934">
      <w:pPr>
        <w:pStyle w:val="NormalWeb"/>
        <w:numPr>
          <w:ilvl w:val="1"/>
          <w:numId w:val="96"/>
        </w:numPr>
        <w:rPr>
          <w:sz w:val="22"/>
          <w:szCs w:val="22"/>
        </w:rPr>
      </w:pPr>
      <w:r w:rsidRPr="00956486">
        <w:rPr>
          <w:rStyle w:val="Strong"/>
          <w:rFonts w:eastAsiaTheme="majorEastAsia"/>
          <w:sz w:val="22"/>
          <w:szCs w:val="22"/>
        </w:rPr>
        <w:t>Flat volumes year-over-year</w:t>
      </w:r>
      <w:r w:rsidRPr="00956486">
        <w:rPr>
          <w:sz w:val="22"/>
          <w:szCs w:val="22"/>
        </w:rPr>
        <w:t>, with price increases offset by energy and labor cost headwinds.</w:t>
      </w:r>
    </w:p>
    <w:p w14:paraId="56389335" w14:textId="77777777" w:rsidR="00082548" w:rsidRPr="00956486" w:rsidRDefault="00082548" w:rsidP="00127934">
      <w:pPr>
        <w:pStyle w:val="NormalWeb"/>
        <w:numPr>
          <w:ilvl w:val="1"/>
          <w:numId w:val="96"/>
        </w:numPr>
        <w:rPr>
          <w:sz w:val="22"/>
          <w:szCs w:val="22"/>
        </w:rPr>
      </w:pPr>
      <w:r w:rsidRPr="00956486">
        <w:rPr>
          <w:sz w:val="22"/>
          <w:szCs w:val="22"/>
        </w:rPr>
        <w:t>Outlook for gradual margin improvement as inflationary pressures ease and new converting assets ramp up.</w:t>
      </w:r>
    </w:p>
    <w:p w14:paraId="537429DA" w14:textId="77777777" w:rsidR="00082548" w:rsidRPr="00956486" w:rsidRDefault="00082548" w:rsidP="00127934">
      <w:pPr>
        <w:pStyle w:val="NormalWeb"/>
        <w:numPr>
          <w:ilvl w:val="1"/>
          <w:numId w:val="96"/>
        </w:numPr>
        <w:rPr>
          <w:sz w:val="22"/>
          <w:szCs w:val="22"/>
        </w:rPr>
      </w:pPr>
      <w:r w:rsidRPr="00956486">
        <w:rPr>
          <w:sz w:val="22"/>
          <w:szCs w:val="22"/>
        </w:rPr>
        <w:t xml:space="preserve">Company sees </w:t>
      </w:r>
      <w:r w:rsidRPr="00956486">
        <w:rPr>
          <w:rStyle w:val="Strong"/>
          <w:rFonts w:eastAsiaTheme="majorEastAsia"/>
          <w:sz w:val="22"/>
          <w:szCs w:val="22"/>
        </w:rPr>
        <w:t>opportunities for continued consolidation</w:t>
      </w:r>
      <w:r w:rsidRPr="00956486">
        <w:rPr>
          <w:sz w:val="22"/>
          <w:szCs w:val="22"/>
        </w:rPr>
        <w:t>, particularly as non-integrated players struggle under pricing pressure.</w:t>
      </w:r>
    </w:p>
    <w:p w14:paraId="2A76629E" w14:textId="77777777" w:rsidR="00082548" w:rsidRPr="00956486" w:rsidRDefault="00082548" w:rsidP="00127934">
      <w:pPr>
        <w:pStyle w:val="NormalWeb"/>
        <w:numPr>
          <w:ilvl w:val="0"/>
          <w:numId w:val="96"/>
        </w:numPr>
        <w:rPr>
          <w:sz w:val="22"/>
          <w:szCs w:val="22"/>
        </w:rPr>
      </w:pPr>
      <w:r w:rsidRPr="00956486">
        <w:rPr>
          <w:rStyle w:val="Strong"/>
          <w:rFonts w:eastAsiaTheme="majorEastAsia"/>
          <w:sz w:val="22"/>
          <w:szCs w:val="22"/>
        </w:rPr>
        <w:t>Latin America</w:t>
      </w:r>
      <w:r w:rsidRPr="00956486">
        <w:rPr>
          <w:sz w:val="22"/>
          <w:szCs w:val="22"/>
        </w:rPr>
        <w:t>:</w:t>
      </w:r>
    </w:p>
    <w:p w14:paraId="1AB219BF" w14:textId="77777777" w:rsidR="00082548" w:rsidRPr="00956486" w:rsidRDefault="00082548" w:rsidP="00127934">
      <w:pPr>
        <w:pStyle w:val="NormalWeb"/>
        <w:numPr>
          <w:ilvl w:val="1"/>
          <w:numId w:val="96"/>
        </w:numPr>
        <w:rPr>
          <w:sz w:val="22"/>
          <w:szCs w:val="22"/>
        </w:rPr>
      </w:pPr>
      <w:r w:rsidRPr="00956486">
        <w:rPr>
          <w:sz w:val="22"/>
          <w:szCs w:val="22"/>
        </w:rPr>
        <w:t xml:space="preserve">A strong performance region with </w:t>
      </w:r>
      <w:r w:rsidRPr="00956486">
        <w:rPr>
          <w:rStyle w:val="Strong"/>
          <w:rFonts w:eastAsiaTheme="majorEastAsia"/>
          <w:sz w:val="22"/>
          <w:szCs w:val="22"/>
        </w:rPr>
        <w:t>&gt;23% EBITDA margin</w:t>
      </w:r>
      <w:r w:rsidRPr="00956486">
        <w:rPr>
          <w:sz w:val="22"/>
          <w:szCs w:val="22"/>
        </w:rPr>
        <w:t>.</w:t>
      </w:r>
    </w:p>
    <w:p w14:paraId="3D927FC4" w14:textId="77777777" w:rsidR="00082548" w:rsidRPr="00956486" w:rsidRDefault="00082548" w:rsidP="00127934">
      <w:pPr>
        <w:pStyle w:val="NormalWeb"/>
        <w:numPr>
          <w:ilvl w:val="1"/>
          <w:numId w:val="96"/>
        </w:numPr>
        <w:rPr>
          <w:sz w:val="22"/>
          <w:szCs w:val="22"/>
        </w:rPr>
      </w:pPr>
      <w:r w:rsidRPr="00956486">
        <w:rPr>
          <w:sz w:val="22"/>
          <w:szCs w:val="22"/>
        </w:rPr>
        <w:t xml:space="preserve">While box volumes declined 1.9%, </w:t>
      </w:r>
      <w:r w:rsidRPr="00956486">
        <w:rPr>
          <w:rStyle w:val="Strong"/>
          <w:rFonts w:eastAsiaTheme="majorEastAsia"/>
          <w:sz w:val="22"/>
          <w:szCs w:val="22"/>
        </w:rPr>
        <w:t>pricing actions fully offset currency and volume pressures</w:t>
      </w:r>
      <w:r w:rsidRPr="00956486">
        <w:rPr>
          <w:sz w:val="22"/>
          <w:szCs w:val="22"/>
        </w:rPr>
        <w:t>.</w:t>
      </w:r>
    </w:p>
    <w:p w14:paraId="383C51B4" w14:textId="77777777" w:rsidR="00082548" w:rsidRPr="00956486" w:rsidRDefault="00082548" w:rsidP="00127934">
      <w:pPr>
        <w:pStyle w:val="NormalWeb"/>
        <w:numPr>
          <w:ilvl w:val="1"/>
          <w:numId w:val="96"/>
        </w:numPr>
        <w:rPr>
          <w:sz w:val="22"/>
          <w:szCs w:val="22"/>
        </w:rPr>
      </w:pPr>
      <w:r w:rsidRPr="00956486">
        <w:rPr>
          <w:sz w:val="22"/>
          <w:szCs w:val="22"/>
        </w:rPr>
        <w:t>Strategic exit from low-margin legacy contracts in Brazil and Mexico is ongoing.</w:t>
      </w:r>
    </w:p>
    <w:p w14:paraId="7D173583" w14:textId="77777777" w:rsidR="00082548" w:rsidRPr="00956486" w:rsidRDefault="00082548" w:rsidP="00127934">
      <w:pPr>
        <w:pStyle w:val="NormalWeb"/>
        <w:numPr>
          <w:ilvl w:val="1"/>
          <w:numId w:val="96"/>
        </w:numPr>
        <w:rPr>
          <w:sz w:val="22"/>
          <w:szCs w:val="22"/>
        </w:rPr>
      </w:pPr>
      <w:r w:rsidRPr="00956486">
        <w:rPr>
          <w:sz w:val="22"/>
          <w:szCs w:val="22"/>
        </w:rPr>
        <w:t xml:space="preserve">Region </w:t>
      </w:r>
      <w:proofErr w:type="gramStart"/>
      <w:r w:rsidRPr="00956486">
        <w:rPr>
          <w:sz w:val="22"/>
          <w:szCs w:val="22"/>
        </w:rPr>
        <w:t>viewed</w:t>
      </w:r>
      <w:proofErr w:type="gramEnd"/>
      <w:r w:rsidRPr="00956486">
        <w:rPr>
          <w:sz w:val="22"/>
          <w:szCs w:val="22"/>
        </w:rPr>
        <w:t xml:space="preserve"> as </w:t>
      </w:r>
      <w:proofErr w:type="gramStart"/>
      <w:r w:rsidRPr="00956486">
        <w:rPr>
          <w:rStyle w:val="Strong"/>
          <w:rFonts w:eastAsiaTheme="majorEastAsia"/>
          <w:sz w:val="22"/>
          <w:szCs w:val="22"/>
        </w:rPr>
        <w:t>high-growth</w:t>
      </w:r>
      <w:proofErr w:type="gramEnd"/>
      <w:r w:rsidRPr="00956486">
        <w:rPr>
          <w:sz w:val="22"/>
          <w:szCs w:val="22"/>
        </w:rPr>
        <w:t xml:space="preserve"> with long-term potential.</w:t>
      </w:r>
    </w:p>
    <w:p w14:paraId="073DBE52" w14:textId="77777777" w:rsidR="003B2F44" w:rsidRDefault="003B2F44" w:rsidP="2535092B">
      <w:pPr>
        <w:rPr>
          <w:rFonts w:ascii="Times New Roman" w:eastAsia="Times New Roman" w:hAnsi="Times New Roman" w:cs="Times New Roman"/>
          <w:color w:val="000000" w:themeColor="text1"/>
        </w:rPr>
      </w:pPr>
    </w:p>
    <w:p w14:paraId="3133C576" w14:textId="77777777" w:rsidR="003B2F44" w:rsidRPr="00BC0D8E" w:rsidRDefault="003B2F44" w:rsidP="2535092B">
      <w:pPr>
        <w:rPr>
          <w:rFonts w:ascii="Times New Roman" w:eastAsia="Times New Roman" w:hAnsi="Times New Roman" w:cs="Times New Roman"/>
        </w:rPr>
      </w:pPr>
    </w:p>
    <w:p w14:paraId="3E2370F2" w14:textId="77777777" w:rsidR="008B733A" w:rsidRPr="00BC0D8E" w:rsidRDefault="34354836" w:rsidP="005757E2">
      <w:pPr>
        <w:pStyle w:val="Heading2"/>
        <w:rPr>
          <w:rFonts w:cs="Times New Roman"/>
        </w:rPr>
      </w:pPr>
      <w:bookmarkStart w:id="124" w:name="_Toc147824697"/>
      <w:bookmarkStart w:id="125" w:name="_Toc212796785"/>
      <w:r w:rsidRPr="2535092B">
        <w:rPr>
          <w:rFonts w:cs="Times New Roman"/>
        </w:rPr>
        <w:t>Sonoco Products Company (</w:t>
      </w:r>
      <w:proofErr w:type="gramStart"/>
      <w:r w:rsidRPr="2535092B">
        <w:rPr>
          <w:rFonts w:cs="Times New Roman"/>
        </w:rPr>
        <w:t>NYSE:SON</w:t>
      </w:r>
      <w:proofErr w:type="gramEnd"/>
      <w:r w:rsidRPr="2535092B">
        <w:rPr>
          <w:rFonts w:cs="Times New Roman"/>
        </w:rPr>
        <w:t>)</w:t>
      </w:r>
      <w:bookmarkEnd w:id="124"/>
      <w:bookmarkEnd w:id="125"/>
      <w:r w:rsidRPr="2535092B">
        <w:rPr>
          <w:rFonts w:cs="Times New Roman"/>
        </w:rPr>
        <w:t xml:space="preserve"> </w:t>
      </w:r>
    </w:p>
    <w:p w14:paraId="70B0C476" w14:textId="3551E17C" w:rsidR="008B733A" w:rsidRPr="00BC0D8E" w:rsidRDefault="02FFA956" w:rsidP="2EEB26EF">
      <w:pPr>
        <w:pStyle w:val="Heading3"/>
        <w:rPr>
          <w:rFonts w:cs="Times New Roman"/>
          <w:color w:val="92D050"/>
        </w:rPr>
      </w:pPr>
      <w:bookmarkStart w:id="126" w:name="_Toc147824698"/>
      <w:bookmarkStart w:id="127" w:name="_Toc212796786"/>
      <w:r w:rsidRPr="2EEB26EF">
        <w:rPr>
          <w:rFonts w:cs="Times New Roman"/>
        </w:rPr>
        <w:t xml:space="preserve">Outlook: </w:t>
      </w:r>
      <w:r w:rsidR="021FDA60" w:rsidRPr="2EEB26EF">
        <w:rPr>
          <w:rFonts w:cs="Times New Roman"/>
          <w:color w:val="00B050"/>
        </w:rPr>
        <w:t>Positive</w:t>
      </w:r>
      <w:bookmarkEnd w:id="126"/>
      <w:bookmarkEnd w:id="127"/>
    </w:p>
    <w:p w14:paraId="486DC6D2" w14:textId="5266FA03" w:rsidR="008B733A" w:rsidRPr="00BC0D8E" w:rsidRDefault="02FFA956" w:rsidP="3CA273EB">
      <w:pPr>
        <w:pStyle w:val="Heading3"/>
        <w:rPr>
          <w:rFonts w:cs="Times New Roman"/>
          <w:color w:val="00B050"/>
        </w:rPr>
      </w:pPr>
      <w:bookmarkStart w:id="128" w:name="_Toc147824699"/>
      <w:bookmarkStart w:id="129" w:name="_Toc212796787"/>
      <w:r w:rsidRPr="2EEB26EF">
        <w:rPr>
          <w:rFonts w:cs="Times New Roman"/>
        </w:rPr>
        <w:t xml:space="preserve">AL Outlook: </w:t>
      </w:r>
      <w:bookmarkEnd w:id="128"/>
      <w:r w:rsidR="00D02B5E" w:rsidRPr="00AF2939">
        <w:rPr>
          <w:rFonts w:cs="Times New Roman"/>
          <w:color w:val="00B050"/>
        </w:rPr>
        <w:t>Positive</w:t>
      </w:r>
      <w:bookmarkEnd w:id="129"/>
    </w:p>
    <w:p w14:paraId="36714C1E" w14:textId="5C71C7DD" w:rsidR="008B733A" w:rsidRPr="00BC0D8E" w:rsidRDefault="02FFA956" w:rsidP="2EEB26EF">
      <w:pPr>
        <w:rPr>
          <w:rFonts w:ascii="Times New Roman" w:hAnsi="Times New Roman" w:cs="Times New Roman"/>
        </w:rPr>
      </w:pPr>
      <w:r w:rsidRPr="2EEB26EF">
        <w:rPr>
          <w:rFonts w:ascii="Times New Roman" w:hAnsi="Times New Roman" w:cs="Times New Roman"/>
          <w:b/>
          <w:bCs/>
        </w:rPr>
        <w:t>Recommended Action:</w:t>
      </w:r>
      <w:r w:rsidRPr="2EEB26EF">
        <w:rPr>
          <w:rFonts w:ascii="Times New Roman" w:hAnsi="Times New Roman" w:cs="Times New Roman"/>
        </w:rPr>
        <w:t xml:space="preserve"> </w:t>
      </w:r>
      <w:r w:rsidR="6D8436E6" w:rsidRPr="0227D82F">
        <w:rPr>
          <w:rFonts w:ascii="Times New Roman" w:hAnsi="Times New Roman" w:cs="Times New Roman"/>
        </w:rPr>
        <w:t xml:space="preserve">Monitor </w:t>
      </w:r>
      <w:commentRangeStart w:id="130"/>
      <w:r w:rsidR="00D53361" w:rsidRPr="0227D82F">
        <w:rPr>
          <w:rFonts w:ascii="Times New Roman" w:hAnsi="Times New Roman" w:cs="Times New Roman"/>
        </w:rPr>
        <w:t xml:space="preserve"> </w:t>
      </w:r>
      <w:commentRangeEnd w:id="130"/>
      <w:r>
        <w:rPr>
          <w:rStyle w:val="CommentReference"/>
        </w:rPr>
        <w:commentReference w:id="130"/>
      </w:r>
      <w:r w:rsidR="00D53361" w:rsidRPr="00D53361">
        <w:rPr>
          <w:rFonts w:ascii="Times New Roman" w:hAnsi="Times New Roman" w:cs="Times New Roman"/>
        </w:rPr>
        <w:t>automation efforts at Opp and Hartselle plants as Sonoco deploys robotics and layout improvements to drive margin expansion.</w:t>
      </w:r>
    </w:p>
    <w:p w14:paraId="40E5665F" w14:textId="4DDB9C8F" w:rsidR="008B733A" w:rsidRDefault="018977D1" w:rsidP="2535092B">
      <w:pPr>
        <w:rPr>
          <w:rFonts w:ascii="Times New Roman" w:eastAsia="Times New Roman" w:hAnsi="Times New Roman" w:cs="Times New Roman"/>
          <w:b/>
          <w:bCs/>
        </w:rPr>
      </w:pPr>
      <w:r w:rsidRPr="2535092B">
        <w:rPr>
          <w:rStyle w:val="Strong"/>
          <w:rFonts w:ascii="Times New Roman" w:eastAsia="Times New Roman" w:hAnsi="Times New Roman" w:cs="Times New Roman"/>
          <w:color w:val="000000" w:themeColor="text1"/>
        </w:rPr>
        <w:t>Alabama Location(s)</w:t>
      </w:r>
      <w:r w:rsidRPr="2535092B">
        <w:rPr>
          <w:rFonts w:ascii="Times New Roman" w:eastAsia="Times New Roman" w:hAnsi="Times New Roman" w:cs="Times New Roman"/>
          <w:color w:val="000000" w:themeColor="text1"/>
        </w:rPr>
        <w:t>: Opp: Tubes &amp; Cores facility; Hartselle: Reels facility</w:t>
      </w:r>
      <w:r w:rsidR="239EE544" w:rsidRPr="2535092B">
        <w:rPr>
          <w:rFonts w:ascii="Times New Roman" w:eastAsia="Times New Roman" w:hAnsi="Times New Roman" w:cs="Times New Roman"/>
          <w:b/>
          <w:bCs/>
        </w:rPr>
        <w:t xml:space="preserve"> </w:t>
      </w:r>
    </w:p>
    <w:p w14:paraId="2B792125" w14:textId="77777777" w:rsidR="003B2F44" w:rsidRPr="00956486" w:rsidRDefault="003B2F44" w:rsidP="003B2F44">
      <w:pPr>
        <w:pStyle w:val="NormalWeb"/>
        <w:rPr>
          <w:sz w:val="22"/>
          <w:szCs w:val="22"/>
        </w:rPr>
      </w:pPr>
      <w:r w:rsidRPr="00956486">
        <w:rPr>
          <w:rStyle w:val="Strong"/>
          <w:rFonts w:eastAsiaTheme="majorEastAsia"/>
          <w:sz w:val="22"/>
          <w:szCs w:val="22"/>
        </w:rPr>
        <w:t>Key Takeaways</w:t>
      </w:r>
    </w:p>
    <w:p w14:paraId="60F95E4F" w14:textId="77777777" w:rsidR="003B2F44" w:rsidRPr="00956486" w:rsidRDefault="003B2F44" w:rsidP="00127934">
      <w:pPr>
        <w:pStyle w:val="NormalWeb"/>
        <w:numPr>
          <w:ilvl w:val="0"/>
          <w:numId w:val="87"/>
        </w:numPr>
        <w:rPr>
          <w:sz w:val="22"/>
          <w:szCs w:val="22"/>
        </w:rPr>
      </w:pPr>
      <w:r w:rsidRPr="00956486">
        <w:rPr>
          <w:sz w:val="22"/>
          <w:szCs w:val="22"/>
        </w:rPr>
        <w:t xml:space="preserve">Sonoco reported </w:t>
      </w:r>
      <w:r w:rsidRPr="00956486">
        <w:rPr>
          <w:rStyle w:val="Strong"/>
          <w:rFonts w:eastAsiaTheme="majorEastAsia"/>
          <w:sz w:val="22"/>
          <w:szCs w:val="22"/>
        </w:rPr>
        <w:t>strong Q2 results</w:t>
      </w:r>
      <w:r w:rsidRPr="00956486">
        <w:rPr>
          <w:sz w:val="22"/>
          <w:szCs w:val="22"/>
        </w:rPr>
        <w:t xml:space="preserve">, exceeding both revenue and EPS guidance, driven by solid performance in </w:t>
      </w:r>
      <w:r w:rsidRPr="00956486">
        <w:rPr>
          <w:rStyle w:val="Strong"/>
          <w:rFonts w:eastAsiaTheme="majorEastAsia"/>
          <w:sz w:val="22"/>
          <w:szCs w:val="22"/>
        </w:rPr>
        <w:t>Industrial Paper Packaging</w:t>
      </w:r>
      <w:r w:rsidRPr="00956486">
        <w:rPr>
          <w:sz w:val="22"/>
          <w:szCs w:val="22"/>
        </w:rPr>
        <w:t>, cost control, and operational execution.</w:t>
      </w:r>
    </w:p>
    <w:p w14:paraId="59A3DCAE" w14:textId="77777777" w:rsidR="003B2F44" w:rsidRPr="00956486" w:rsidRDefault="003B2F44" w:rsidP="00127934">
      <w:pPr>
        <w:pStyle w:val="NormalWeb"/>
        <w:numPr>
          <w:ilvl w:val="0"/>
          <w:numId w:val="87"/>
        </w:numPr>
        <w:rPr>
          <w:sz w:val="22"/>
          <w:szCs w:val="22"/>
        </w:rPr>
      </w:pPr>
      <w:r w:rsidRPr="00956486">
        <w:rPr>
          <w:sz w:val="22"/>
          <w:szCs w:val="22"/>
        </w:rPr>
        <w:t>The company is seeing clear signs of volume recovery, particularly in North American industrial markets and consumer protective packaging.</w:t>
      </w:r>
    </w:p>
    <w:p w14:paraId="7E55F332" w14:textId="77777777" w:rsidR="003B2F44" w:rsidRPr="00956486" w:rsidRDefault="003B2F44" w:rsidP="00127934">
      <w:pPr>
        <w:pStyle w:val="NormalWeb"/>
        <w:numPr>
          <w:ilvl w:val="0"/>
          <w:numId w:val="87"/>
        </w:numPr>
        <w:rPr>
          <w:sz w:val="22"/>
          <w:szCs w:val="22"/>
        </w:rPr>
      </w:pPr>
      <w:r w:rsidRPr="00956486">
        <w:rPr>
          <w:sz w:val="22"/>
          <w:szCs w:val="22"/>
        </w:rPr>
        <w:lastRenderedPageBreak/>
        <w:t>Industrial segment margins reached a record 19.3%, aided by favorable price/cost spread and high operating rates at paper mills and converting facilities.</w:t>
      </w:r>
    </w:p>
    <w:p w14:paraId="425FCC43" w14:textId="21D930ED" w:rsidR="003B2F44" w:rsidRPr="00956486" w:rsidRDefault="003B2F44" w:rsidP="00127934">
      <w:pPr>
        <w:pStyle w:val="NormalWeb"/>
        <w:numPr>
          <w:ilvl w:val="0"/>
          <w:numId w:val="87"/>
        </w:numPr>
        <w:rPr>
          <w:sz w:val="22"/>
          <w:szCs w:val="22"/>
        </w:rPr>
      </w:pPr>
      <w:r w:rsidRPr="00956486">
        <w:rPr>
          <w:rStyle w:val="Strong"/>
          <w:rFonts w:eastAsiaTheme="majorEastAsia"/>
          <w:sz w:val="22"/>
          <w:szCs w:val="22"/>
        </w:rPr>
        <w:t>Alabama plants</w:t>
      </w:r>
      <w:r w:rsidRPr="00956486">
        <w:rPr>
          <w:sz w:val="22"/>
          <w:szCs w:val="22"/>
        </w:rPr>
        <w:t xml:space="preserve"> (Opp</w:t>
      </w:r>
      <w:r w:rsidR="024101F9" w:rsidRPr="0227D82F">
        <w:rPr>
          <w:sz w:val="22"/>
          <w:szCs w:val="22"/>
        </w:rPr>
        <w:t xml:space="preserve"> and</w:t>
      </w:r>
      <w:r w:rsidRPr="00956486">
        <w:rPr>
          <w:sz w:val="22"/>
          <w:szCs w:val="22"/>
        </w:rPr>
        <w:t xml:space="preserve"> Hartselle) are part of Sonoco’s U.S. Southeast converting footprint, which benefitted from volume gains and operational improvements.</w:t>
      </w:r>
    </w:p>
    <w:p w14:paraId="702BECFF" w14:textId="77777777" w:rsidR="003B2F44" w:rsidRPr="00956486" w:rsidRDefault="003B2F44" w:rsidP="00127934">
      <w:pPr>
        <w:pStyle w:val="NormalWeb"/>
        <w:numPr>
          <w:ilvl w:val="0"/>
          <w:numId w:val="87"/>
        </w:numPr>
        <w:rPr>
          <w:sz w:val="22"/>
          <w:szCs w:val="22"/>
        </w:rPr>
      </w:pPr>
      <w:r w:rsidRPr="00956486">
        <w:rPr>
          <w:sz w:val="22"/>
          <w:szCs w:val="22"/>
        </w:rPr>
        <w:t>Sonoco raised its full-year 2025 guidance for both EPS and free cash flow due to strength in volume recovery, input cost tailwinds, and manufacturing leverage.</w:t>
      </w:r>
    </w:p>
    <w:p w14:paraId="602FD77D" w14:textId="77777777" w:rsidR="003B2F44" w:rsidRPr="00956486" w:rsidRDefault="003B2F44" w:rsidP="00127934">
      <w:pPr>
        <w:pStyle w:val="NormalWeb"/>
        <w:numPr>
          <w:ilvl w:val="0"/>
          <w:numId w:val="87"/>
        </w:numPr>
        <w:rPr>
          <w:sz w:val="22"/>
          <w:szCs w:val="22"/>
        </w:rPr>
      </w:pPr>
      <w:r w:rsidRPr="00956486">
        <w:rPr>
          <w:sz w:val="22"/>
          <w:szCs w:val="22"/>
        </w:rPr>
        <w:t>M&amp;A remains focused on strategic bolt-</w:t>
      </w:r>
      <w:proofErr w:type="spellStart"/>
      <w:r w:rsidRPr="00956486">
        <w:rPr>
          <w:sz w:val="22"/>
          <w:szCs w:val="22"/>
        </w:rPr>
        <w:t>ons</w:t>
      </w:r>
      <w:proofErr w:type="spellEnd"/>
      <w:r w:rsidRPr="00956486">
        <w:rPr>
          <w:sz w:val="22"/>
          <w:szCs w:val="22"/>
        </w:rPr>
        <w:t xml:space="preserve"> in protective and flexible packaging; </w:t>
      </w:r>
      <w:proofErr w:type="spellStart"/>
      <w:r w:rsidRPr="00956486">
        <w:rPr>
          <w:sz w:val="22"/>
          <w:szCs w:val="22"/>
        </w:rPr>
        <w:t>CapEx</w:t>
      </w:r>
      <w:proofErr w:type="spellEnd"/>
      <w:r w:rsidRPr="00956486">
        <w:rPr>
          <w:sz w:val="22"/>
          <w:szCs w:val="22"/>
        </w:rPr>
        <w:t xml:space="preserve"> is prioritizing automation, reliability, and productivity in core assets.</w:t>
      </w:r>
    </w:p>
    <w:p w14:paraId="266AC322" w14:textId="77777777" w:rsidR="003B2F44" w:rsidRPr="00956486" w:rsidRDefault="003B2F44" w:rsidP="003B2F44">
      <w:pPr>
        <w:pStyle w:val="NormalWeb"/>
        <w:rPr>
          <w:sz w:val="22"/>
          <w:szCs w:val="22"/>
        </w:rPr>
      </w:pPr>
      <w:r w:rsidRPr="00956486">
        <w:rPr>
          <w:rStyle w:val="Strong"/>
          <w:rFonts w:eastAsiaTheme="majorEastAsia"/>
          <w:sz w:val="22"/>
          <w:szCs w:val="22"/>
        </w:rPr>
        <w:t>Financial Highlights</w:t>
      </w:r>
    </w:p>
    <w:p w14:paraId="68CCB854" w14:textId="77777777" w:rsidR="003B2F44" w:rsidRPr="00956486" w:rsidRDefault="003B2F44" w:rsidP="00127934">
      <w:pPr>
        <w:pStyle w:val="NormalWeb"/>
        <w:numPr>
          <w:ilvl w:val="0"/>
          <w:numId w:val="88"/>
        </w:numPr>
        <w:rPr>
          <w:sz w:val="22"/>
          <w:szCs w:val="22"/>
        </w:rPr>
      </w:pPr>
      <w:r w:rsidRPr="00956486">
        <w:rPr>
          <w:rStyle w:val="Strong"/>
          <w:rFonts w:eastAsiaTheme="majorEastAsia"/>
          <w:sz w:val="22"/>
          <w:szCs w:val="22"/>
        </w:rPr>
        <w:t>Net sales</w:t>
      </w:r>
      <w:r w:rsidRPr="00956486">
        <w:rPr>
          <w:sz w:val="22"/>
          <w:szCs w:val="22"/>
        </w:rPr>
        <w:t>: $1.86 billion (+2.8% YoY), ahead of consensus by $40M</w:t>
      </w:r>
    </w:p>
    <w:p w14:paraId="10C86B93" w14:textId="77777777" w:rsidR="003B2F44" w:rsidRPr="00956486" w:rsidRDefault="003B2F44" w:rsidP="00127934">
      <w:pPr>
        <w:pStyle w:val="NormalWeb"/>
        <w:numPr>
          <w:ilvl w:val="0"/>
          <w:numId w:val="88"/>
        </w:numPr>
        <w:rPr>
          <w:sz w:val="22"/>
          <w:szCs w:val="22"/>
        </w:rPr>
      </w:pPr>
      <w:r w:rsidRPr="00956486">
        <w:rPr>
          <w:rStyle w:val="Strong"/>
          <w:rFonts w:eastAsiaTheme="majorEastAsia"/>
          <w:sz w:val="22"/>
          <w:szCs w:val="22"/>
        </w:rPr>
        <w:t>Adjusted EPS</w:t>
      </w:r>
      <w:r w:rsidRPr="00956486">
        <w:rPr>
          <w:sz w:val="22"/>
          <w:szCs w:val="22"/>
        </w:rPr>
        <w:t xml:space="preserve">: $1.41 (vs. $1.35 </w:t>
      </w:r>
      <w:proofErr w:type="spellStart"/>
      <w:r w:rsidRPr="00956486">
        <w:rPr>
          <w:sz w:val="22"/>
          <w:szCs w:val="22"/>
        </w:rPr>
        <w:t>est</w:t>
      </w:r>
      <w:proofErr w:type="spellEnd"/>
      <w:r w:rsidRPr="00956486">
        <w:rPr>
          <w:sz w:val="22"/>
          <w:szCs w:val="22"/>
        </w:rPr>
        <w:t>), +7.6% YoY</w:t>
      </w:r>
    </w:p>
    <w:p w14:paraId="73D39FF2" w14:textId="77777777" w:rsidR="003B2F44" w:rsidRPr="00956486" w:rsidRDefault="003B2F44" w:rsidP="00127934">
      <w:pPr>
        <w:pStyle w:val="NormalWeb"/>
        <w:numPr>
          <w:ilvl w:val="0"/>
          <w:numId w:val="88"/>
        </w:numPr>
        <w:rPr>
          <w:sz w:val="22"/>
          <w:szCs w:val="22"/>
        </w:rPr>
      </w:pPr>
      <w:r w:rsidRPr="00956486">
        <w:rPr>
          <w:rStyle w:val="Strong"/>
          <w:rFonts w:eastAsiaTheme="majorEastAsia"/>
          <w:sz w:val="22"/>
          <w:szCs w:val="22"/>
        </w:rPr>
        <w:t>Adjusted EBITDA</w:t>
      </w:r>
      <w:r w:rsidRPr="00956486">
        <w:rPr>
          <w:sz w:val="22"/>
          <w:szCs w:val="22"/>
        </w:rPr>
        <w:t>: $341 million (+6.7% YoY); EBITDA margin: 18.3% (vs. 17.5% in Q2 2024)</w:t>
      </w:r>
    </w:p>
    <w:p w14:paraId="18ABF3F0" w14:textId="77777777" w:rsidR="003B2F44" w:rsidRPr="00956486" w:rsidRDefault="003B2F44" w:rsidP="00127934">
      <w:pPr>
        <w:pStyle w:val="NormalWeb"/>
        <w:numPr>
          <w:ilvl w:val="0"/>
          <w:numId w:val="88"/>
        </w:numPr>
        <w:rPr>
          <w:sz w:val="22"/>
          <w:szCs w:val="22"/>
        </w:rPr>
      </w:pPr>
      <w:r w:rsidRPr="00956486">
        <w:rPr>
          <w:rStyle w:val="Strong"/>
          <w:rFonts w:eastAsiaTheme="majorEastAsia"/>
          <w:sz w:val="22"/>
          <w:szCs w:val="22"/>
        </w:rPr>
        <w:t>Free cash flow</w:t>
      </w:r>
      <w:r w:rsidRPr="00956486">
        <w:rPr>
          <w:sz w:val="22"/>
          <w:szCs w:val="22"/>
        </w:rPr>
        <w:t>: $162 million (vs. $104 million in Q2 2024); full-year guide raised to $580–620 million</w:t>
      </w:r>
    </w:p>
    <w:p w14:paraId="17B9FCC1" w14:textId="77777777" w:rsidR="003B2F44" w:rsidRPr="00956486" w:rsidRDefault="003B2F44" w:rsidP="00127934">
      <w:pPr>
        <w:pStyle w:val="NormalWeb"/>
        <w:numPr>
          <w:ilvl w:val="0"/>
          <w:numId w:val="88"/>
        </w:numPr>
        <w:rPr>
          <w:sz w:val="22"/>
          <w:szCs w:val="22"/>
        </w:rPr>
      </w:pPr>
      <w:proofErr w:type="spellStart"/>
      <w:r w:rsidRPr="00956486">
        <w:rPr>
          <w:rStyle w:val="Strong"/>
          <w:rFonts w:eastAsiaTheme="majorEastAsia"/>
          <w:sz w:val="22"/>
          <w:szCs w:val="22"/>
        </w:rPr>
        <w:t>CapEx</w:t>
      </w:r>
      <w:proofErr w:type="spellEnd"/>
      <w:r w:rsidRPr="00956486">
        <w:rPr>
          <w:sz w:val="22"/>
          <w:szCs w:val="22"/>
        </w:rPr>
        <w:t xml:space="preserve">: $79 million in Q2; FY2025 guidance of </w:t>
      </w:r>
      <w:r w:rsidRPr="00956486">
        <w:rPr>
          <w:rStyle w:val="Strong"/>
          <w:rFonts w:eastAsiaTheme="majorEastAsia"/>
          <w:sz w:val="22"/>
          <w:szCs w:val="22"/>
        </w:rPr>
        <w:t>$320–340 million</w:t>
      </w:r>
      <w:r w:rsidRPr="00956486">
        <w:rPr>
          <w:sz w:val="22"/>
          <w:szCs w:val="22"/>
        </w:rPr>
        <w:t xml:space="preserve"> unchanged</w:t>
      </w:r>
    </w:p>
    <w:p w14:paraId="5522454A" w14:textId="77777777" w:rsidR="003B2F44" w:rsidRPr="00956486" w:rsidRDefault="003B2F44" w:rsidP="00127934">
      <w:pPr>
        <w:pStyle w:val="NormalWeb"/>
        <w:numPr>
          <w:ilvl w:val="0"/>
          <w:numId w:val="88"/>
        </w:numPr>
        <w:rPr>
          <w:sz w:val="22"/>
          <w:szCs w:val="22"/>
        </w:rPr>
      </w:pPr>
      <w:r w:rsidRPr="00956486">
        <w:rPr>
          <w:sz w:val="22"/>
          <w:szCs w:val="22"/>
        </w:rPr>
        <w:t>Dividend: $0.52/share paid in July, with a 5.1% YoY increase</w:t>
      </w:r>
    </w:p>
    <w:p w14:paraId="1EC9052C" w14:textId="77777777" w:rsidR="003B2F44" w:rsidRPr="00956486" w:rsidRDefault="003B2F44" w:rsidP="003B2F44">
      <w:pPr>
        <w:pStyle w:val="NormalWeb"/>
        <w:rPr>
          <w:sz w:val="22"/>
          <w:szCs w:val="22"/>
        </w:rPr>
      </w:pPr>
      <w:r w:rsidRPr="00956486">
        <w:rPr>
          <w:rStyle w:val="Strong"/>
          <w:rFonts w:eastAsiaTheme="majorEastAsia"/>
          <w:sz w:val="22"/>
          <w:szCs w:val="22"/>
        </w:rPr>
        <w:t>Operational Highlights</w:t>
      </w:r>
    </w:p>
    <w:p w14:paraId="20D821EF" w14:textId="77777777" w:rsidR="003B2F44" w:rsidRPr="00956486" w:rsidRDefault="003B2F44" w:rsidP="00127934">
      <w:pPr>
        <w:pStyle w:val="NormalWeb"/>
        <w:numPr>
          <w:ilvl w:val="0"/>
          <w:numId w:val="89"/>
        </w:numPr>
        <w:rPr>
          <w:sz w:val="22"/>
          <w:szCs w:val="22"/>
        </w:rPr>
      </w:pPr>
      <w:r w:rsidRPr="00956486">
        <w:rPr>
          <w:rStyle w:val="Strong"/>
          <w:rFonts w:eastAsiaTheme="majorEastAsia"/>
          <w:sz w:val="22"/>
          <w:szCs w:val="22"/>
        </w:rPr>
        <w:t>Industrial Paper Packaging</w:t>
      </w:r>
      <w:r w:rsidRPr="00956486">
        <w:rPr>
          <w:sz w:val="22"/>
          <w:szCs w:val="22"/>
        </w:rPr>
        <w:t>: Continued strength in North American tubes &amp; cores demand, especially in film, textile, and construction end-markets</w:t>
      </w:r>
    </w:p>
    <w:p w14:paraId="1E9A831A" w14:textId="77777777" w:rsidR="003B2F44" w:rsidRPr="00956486" w:rsidRDefault="003B2F44" w:rsidP="00127934">
      <w:pPr>
        <w:pStyle w:val="NormalWeb"/>
        <w:numPr>
          <w:ilvl w:val="1"/>
          <w:numId w:val="89"/>
        </w:numPr>
        <w:rPr>
          <w:sz w:val="22"/>
          <w:szCs w:val="22"/>
        </w:rPr>
      </w:pPr>
      <w:r w:rsidRPr="00956486">
        <w:rPr>
          <w:sz w:val="22"/>
          <w:szCs w:val="22"/>
        </w:rPr>
        <w:t xml:space="preserve">U.S. mill system ran at </w:t>
      </w:r>
      <w:r w:rsidRPr="00956486">
        <w:rPr>
          <w:rStyle w:val="Strong"/>
          <w:rFonts w:eastAsiaTheme="majorEastAsia"/>
          <w:sz w:val="22"/>
          <w:szCs w:val="22"/>
        </w:rPr>
        <w:t>93% utilization</w:t>
      </w:r>
    </w:p>
    <w:p w14:paraId="3EA6D8B5" w14:textId="77777777" w:rsidR="003B2F44" w:rsidRPr="00956486" w:rsidRDefault="003B2F44" w:rsidP="00127934">
      <w:pPr>
        <w:pStyle w:val="NormalWeb"/>
        <w:numPr>
          <w:ilvl w:val="0"/>
          <w:numId w:val="89"/>
        </w:numPr>
        <w:rPr>
          <w:sz w:val="22"/>
          <w:szCs w:val="22"/>
        </w:rPr>
      </w:pPr>
      <w:r w:rsidRPr="00956486">
        <w:rPr>
          <w:rStyle w:val="Strong"/>
          <w:rFonts w:eastAsiaTheme="majorEastAsia"/>
          <w:sz w:val="22"/>
          <w:szCs w:val="22"/>
        </w:rPr>
        <w:t>Protective Solutions</w:t>
      </w:r>
      <w:r w:rsidRPr="00956486">
        <w:rPr>
          <w:sz w:val="22"/>
          <w:szCs w:val="22"/>
        </w:rPr>
        <w:t>: Volumes up mid-single digits YoY, led by appliance, HVAC, and durable goods</w:t>
      </w:r>
    </w:p>
    <w:p w14:paraId="21D46EF9" w14:textId="77777777" w:rsidR="003B2F44" w:rsidRPr="00956486" w:rsidRDefault="003B2F44" w:rsidP="00127934">
      <w:pPr>
        <w:pStyle w:val="NormalWeb"/>
        <w:numPr>
          <w:ilvl w:val="1"/>
          <w:numId w:val="89"/>
        </w:numPr>
        <w:rPr>
          <w:sz w:val="22"/>
          <w:szCs w:val="22"/>
        </w:rPr>
      </w:pPr>
      <w:r w:rsidRPr="00956486">
        <w:rPr>
          <w:rStyle w:val="Strong"/>
          <w:rFonts w:eastAsiaTheme="majorEastAsia"/>
          <w:sz w:val="22"/>
          <w:szCs w:val="22"/>
        </w:rPr>
        <w:t>Hartselle, AL reels plant</w:t>
      </w:r>
      <w:r w:rsidRPr="00956486">
        <w:rPr>
          <w:sz w:val="22"/>
          <w:szCs w:val="22"/>
        </w:rPr>
        <w:t xml:space="preserve"> contributed to protective packaging gains in cable and fiber optics segments</w:t>
      </w:r>
    </w:p>
    <w:p w14:paraId="6DB20A6A" w14:textId="77777777" w:rsidR="003B2F44" w:rsidRPr="00956486" w:rsidRDefault="003B2F44" w:rsidP="00127934">
      <w:pPr>
        <w:pStyle w:val="NormalWeb"/>
        <w:numPr>
          <w:ilvl w:val="1"/>
          <w:numId w:val="89"/>
        </w:numPr>
        <w:rPr>
          <w:sz w:val="22"/>
          <w:szCs w:val="22"/>
        </w:rPr>
      </w:pPr>
      <w:r w:rsidRPr="00956486">
        <w:rPr>
          <w:sz w:val="22"/>
          <w:szCs w:val="22"/>
        </w:rPr>
        <w:t>Expanded orders for molded foam and engineered packaging products</w:t>
      </w:r>
    </w:p>
    <w:p w14:paraId="62467B0B" w14:textId="77777777" w:rsidR="003B2F44" w:rsidRPr="00956486" w:rsidRDefault="003B2F44" w:rsidP="00127934">
      <w:pPr>
        <w:pStyle w:val="NormalWeb"/>
        <w:numPr>
          <w:ilvl w:val="0"/>
          <w:numId w:val="89"/>
        </w:numPr>
        <w:rPr>
          <w:sz w:val="22"/>
          <w:szCs w:val="22"/>
        </w:rPr>
      </w:pPr>
      <w:r w:rsidRPr="00956486">
        <w:rPr>
          <w:rStyle w:val="Strong"/>
          <w:rFonts w:eastAsiaTheme="majorEastAsia"/>
          <w:sz w:val="22"/>
          <w:szCs w:val="22"/>
        </w:rPr>
        <w:t>Consumer Packaging</w:t>
      </w:r>
      <w:r w:rsidRPr="00956486">
        <w:rPr>
          <w:sz w:val="22"/>
          <w:szCs w:val="22"/>
        </w:rPr>
        <w:t xml:space="preserve"> segment underperformed slightly due to soft metal packaging demand in </w:t>
      </w:r>
      <w:proofErr w:type="gramStart"/>
      <w:r w:rsidRPr="00956486">
        <w:rPr>
          <w:sz w:val="22"/>
          <w:szCs w:val="22"/>
        </w:rPr>
        <w:t>Europe;</w:t>
      </w:r>
      <w:proofErr w:type="gramEnd"/>
      <w:r w:rsidRPr="00956486">
        <w:rPr>
          <w:sz w:val="22"/>
          <w:szCs w:val="22"/>
        </w:rPr>
        <w:t xml:space="preserve"> North America stable</w:t>
      </w:r>
    </w:p>
    <w:p w14:paraId="44EB3C9F" w14:textId="77777777" w:rsidR="003B2F44" w:rsidRPr="00956486" w:rsidRDefault="003B2F44" w:rsidP="003B2F44">
      <w:pPr>
        <w:pStyle w:val="NormalWeb"/>
        <w:rPr>
          <w:sz w:val="22"/>
          <w:szCs w:val="22"/>
        </w:rPr>
      </w:pPr>
      <w:r w:rsidRPr="00956486">
        <w:rPr>
          <w:rStyle w:val="Strong"/>
          <w:rFonts w:eastAsiaTheme="majorEastAsia"/>
          <w:sz w:val="22"/>
          <w:szCs w:val="22"/>
        </w:rPr>
        <w:t>Business Expansions &amp; Capital Expenditure Plans</w:t>
      </w:r>
    </w:p>
    <w:p w14:paraId="0F81819F" w14:textId="77777777" w:rsidR="003B2F44" w:rsidRPr="00956486" w:rsidRDefault="003B2F44" w:rsidP="00127934">
      <w:pPr>
        <w:pStyle w:val="NormalWeb"/>
        <w:numPr>
          <w:ilvl w:val="0"/>
          <w:numId w:val="90"/>
        </w:numPr>
        <w:rPr>
          <w:sz w:val="22"/>
          <w:szCs w:val="22"/>
        </w:rPr>
      </w:pPr>
      <w:r w:rsidRPr="00956486">
        <w:rPr>
          <w:sz w:val="22"/>
          <w:szCs w:val="22"/>
        </w:rPr>
        <w:t xml:space="preserve">FY2025 </w:t>
      </w:r>
      <w:proofErr w:type="spellStart"/>
      <w:r w:rsidRPr="00956486">
        <w:rPr>
          <w:sz w:val="22"/>
          <w:szCs w:val="22"/>
        </w:rPr>
        <w:t>CapEx</w:t>
      </w:r>
      <w:proofErr w:type="spellEnd"/>
      <w:r w:rsidRPr="00956486">
        <w:rPr>
          <w:sz w:val="22"/>
          <w:szCs w:val="22"/>
        </w:rPr>
        <w:t xml:space="preserve">: </w:t>
      </w:r>
      <w:r w:rsidRPr="00956486">
        <w:rPr>
          <w:rStyle w:val="Strong"/>
          <w:rFonts w:eastAsiaTheme="majorEastAsia"/>
          <w:sz w:val="22"/>
          <w:szCs w:val="22"/>
        </w:rPr>
        <w:t>$320–340 million</w:t>
      </w:r>
      <w:r w:rsidRPr="00956486">
        <w:rPr>
          <w:sz w:val="22"/>
          <w:szCs w:val="22"/>
        </w:rPr>
        <w:t>, focused on:</w:t>
      </w:r>
    </w:p>
    <w:p w14:paraId="76566CC7" w14:textId="77777777" w:rsidR="003B2F44" w:rsidRPr="00956486" w:rsidRDefault="003B2F44" w:rsidP="00127934">
      <w:pPr>
        <w:pStyle w:val="NormalWeb"/>
        <w:numPr>
          <w:ilvl w:val="1"/>
          <w:numId w:val="90"/>
        </w:numPr>
        <w:rPr>
          <w:sz w:val="22"/>
          <w:szCs w:val="22"/>
        </w:rPr>
      </w:pPr>
      <w:r w:rsidRPr="00956486">
        <w:rPr>
          <w:rStyle w:val="Strong"/>
          <w:rFonts w:eastAsiaTheme="majorEastAsia"/>
          <w:sz w:val="22"/>
          <w:szCs w:val="22"/>
        </w:rPr>
        <w:t>Automation</w:t>
      </w:r>
      <w:r w:rsidRPr="00956486">
        <w:rPr>
          <w:sz w:val="22"/>
          <w:szCs w:val="22"/>
        </w:rPr>
        <w:t xml:space="preserve"> and </w:t>
      </w:r>
      <w:r w:rsidRPr="00956486">
        <w:rPr>
          <w:rStyle w:val="Strong"/>
          <w:rFonts w:eastAsiaTheme="majorEastAsia"/>
          <w:sz w:val="22"/>
          <w:szCs w:val="22"/>
        </w:rPr>
        <w:t>robotics</w:t>
      </w:r>
      <w:r w:rsidRPr="00956486">
        <w:rPr>
          <w:sz w:val="22"/>
          <w:szCs w:val="22"/>
        </w:rPr>
        <w:t xml:space="preserve"> in tubes &amp; cores, reels, and protective packaging</w:t>
      </w:r>
    </w:p>
    <w:p w14:paraId="6C97FB16" w14:textId="77777777" w:rsidR="003B2F44" w:rsidRPr="00956486" w:rsidRDefault="003B2F44" w:rsidP="00127934">
      <w:pPr>
        <w:pStyle w:val="NormalWeb"/>
        <w:numPr>
          <w:ilvl w:val="1"/>
          <w:numId w:val="90"/>
        </w:numPr>
        <w:rPr>
          <w:sz w:val="22"/>
          <w:szCs w:val="22"/>
        </w:rPr>
      </w:pPr>
      <w:r w:rsidRPr="00956486">
        <w:rPr>
          <w:rStyle w:val="Strong"/>
          <w:rFonts w:eastAsiaTheme="majorEastAsia"/>
          <w:sz w:val="22"/>
          <w:szCs w:val="22"/>
        </w:rPr>
        <w:t>Reliability upgrades</w:t>
      </w:r>
      <w:r w:rsidRPr="00956486">
        <w:rPr>
          <w:sz w:val="22"/>
          <w:szCs w:val="22"/>
        </w:rPr>
        <w:t xml:space="preserve"> at major U.S. mills (no new greenfield mill construction planned)</w:t>
      </w:r>
    </w:p>
    <w:p w14:paraId="1D88714E" w14:textId="77777777" w:rsidR="003B2F44" w:rsidRPr="00956486" w:rsidRDefault="003B2F44" w:rsidP="00127934">
      <w:pPr>
        <w:pStyle w:val="NormalWeb"/>
        <w:numPr>
          <w:ilvl w:val="1"/>
          <w:numId w:val="90"/>
        </w:numPr>
        <w:rPr>
          <w:sz w:val="22"/>
          <w:szCs w:val="22"/>
        </w:rPr>
      </w:pPr>
      <w:r w:rsidRPr="00956486">
        <w:rPr>
          <w:sz w:val="22"/>
          <w:szCs w:val="22"/>
        </w:rPr>
        <w:t>ERP, warehouse automation, and scheduling systems to support better lead times</w:t>
      </w:r>
    </w:p>
    <w:p w14:paraId="166F8FFC" w14:textId="670931C9" w:rsidR="003B2F44" w:rsidRPr="00956486" w:rsidRDefault="003B2F44" w:rsidP="00127934">
      <w:pPr>
        <w:pStyle w:val="NormalWeb"/>
        <w:numPr>
          <w:ilvl w:val="0"/>
          <w:numId w:val="90"/>
        </w:numPr>
        <w:rPr>
          <w:sz w:val="22"/>
          <w:szCs w:val="22"/>
        </w:rPr>
      </w:pPr>
      <w:r w:rsidRPr="00956486">
        <w:rPr>
          <w:rStyle w:val="Strong"/>
          <w:rFonts w:eastAsiaTheme="majorEastAsia"/>
          <w:sz w:val="22"/>
          <w:szCs w:val="22"/>
        </w:rPr>
        <w:t xml:space="preserve">Opp, AL tubes &amp; cores </w:t>
      </w:r>
      <w:r w:rsidRPr="0227D82F">
        <w:rPr>
          <w:rStyle w:val="Strong"/>
          <w:rFonts w:eastAsiaTheme="majorEastAsia"/>
          <w:sz w:val="22"/>
          <w:szCs w:val="22"/>
        </w:rPr>
        <w:t>plant</w:t>
      </w:r>
      <w:r w:rsidR="0409992E" w:rsidRPr="0227D82F">
        <w:rPr>
          <w:rStyle w:val="Strong"/>
          <w:rFonts w:eastAsiaTheme="majorEastAsia"/>
          <w:sz w:val="22"/>
          <w:szCs w:val="22"/>
        </w:rPr>
        <w:t xml:space="preserve"> is</w:t>
      </w:r>
      <w:r w:rsidRPr="00956486">
        <w:rPr>
          <w:sz w:val="22"/>
          <w:szCs w:val="22"/>
        </w:rPr>
        <w:t xml:space="preserve"> part of Sonoco’s regional automation rollout — receiving robotics and digital inspection equipment in 2025</w:t>
      </w:r>
    </w:p>
    <w:p w14:paraId="50F3776F" w14:textId="77777777" w:rsidR="003B2F44" w:rsidRPr="00956486" w:rsidRDefault="003B2F44" w:rsidP="00127934">
      <w:pPr>
        <w:pStyle w:val="NormalWeb"/>
        <w:numPr>
          <w:ilvl w:val="0"/>
          <w:numId w:val="90"/>
        </w:numPr>
        <w:rPr>
          <w:sz w:val="22"/>
          <w:szCs w:val="22"/>
        </w:rPr>
      </w:pPr>
      <w:r w:rsidRPr="00956486">
        <w:rPr>
          <w:rStyle w:val="Strong"/>
          <w:rFonts w:eastAsiaTheme="majorEastAsia"/>
          <w:sz w:val="22"/>
          <w:szCs w:val="22"/>
        </w:rPr>
        <w:t>Hartselle, AL reels facility</w:t>
      </w:r>
      <w:r w:rsidRPr="00956486">
        <w:rPr>
          <w:sz w:val="22"/>
          <w:szCs w:val="22"/>
        </w:rPr>
        <w:t xml:space="preserve"> will undergo layout improvements and materials handling upgrades to meet higher demand for telecom reels</w:t>
      </w:r>
    </w:p>
    <w:p w14:paraId="2739C2B4" w14:textId="77777777" w:rsidR="003B2F44" w:rsidRPr="00956486" w:rsidRDefault="003B2F44" w:rsidP="00127934">
      <w:pPr>
        <w:pStyle w:val="NormalWeb"/>
        <w:numPr>
          <w:ilvl w:val="0"/>
          <w:numId w:val="90"/>
        </w:numPr>
        <w:rPr>
          <w:sz w:val="22"/>
          <w:szCs w:val="22"/>
        </w:rPr>
      </w:pPr>
      <w:r w:rsidRPr="00956486">
        <w:rPr>
          <w:sz w:val="22"/>
          <w:szCs w:val="22"/>
        </w:rPr>
        <w:t>Sonoco continues to integrate legacy acquisitions (e.g., Skjern Paper, RTS) and rationalize underperforming assets in Europe</w:t>
      </w:r>
    </w:p>
    <w:p w14:paraId="6DEF4403" w14:textId="77777777" w:rsidR="003B2F44" w:rsidRPr="00956486" w:rsidRDefault="003B2F44" w:rsidP="003B2F44">
      <w:pPr>
        <w:pStyle w:val="NormalWeb"/>
        <w:rPr>
          <w:sz w:val="22"/>
          <w:szCs w:val="22"/>
        </w:rPr>
      </w:pPr>
      <w:r w:rsidRPr="00956486">
        <w:rPr>
          <w:rStyle w:val="Strong"/>
          <w:rFonts w:eastAsiaTheme="majorEastAsia"/>
          <w:sz w:val="22"/>
          <w:szCs w:val="22"/>
        </w:rPr>
        <w:t>Segment Performance &amp; Outlook</w:t>
      </w:r>
    </w:p>
    <w:p w14:paraId="0F111204" w14:textId="77777777" w:rsidR="003B2F44" w:rsidRPr="00956486" w:rsidRDefault="003B2F44" w:rsidP="00127934">
      <w:pPr>
        <w:pStyle w:val="NormalWeb"/>
        <w:numPr>
          <w:ilvl w:val="0"/>
          <w:numId w:val="91"/>
        </w:numPr>
        <w:rPr>
          <w:sz w:val="22"/>
          <w:szCs w:val="22"/>
        </w:rPr>
      </w:pPr>
      <w:r w:rsidRPr="00956486">
        <w:rPr>
          <w:rStyle w:val="Strong"/>
          <w:rFonts w:eastAsiaTheme="majorEastAsia"/>
          <w:sz w:val="22"/>
          <w:szCs w:val="22"/>
        </w:rPr>
        <w:t>Industrial Paper Packaging</w:t>
      </w:r>
      <w:r w:rsidRPr="00956486">
        <w:rPr>
          <w:sz w:val="22"/>
          <w:szCs w:val="22"/>
        </w:rPr>
        <w:t>:</w:t>
      </w:r>
    </w:p>
    <w:p w14:paraId="1CECDEB9" w14:textId="77777777" w:rsidR="003B2F44" w:rsidRPr="00956486" w:rsidRDefault="003B2F44" w:rsidP="00127934">
      <w:pPr>
        <w:pStyle w:val="NormalWeb"/>
        <w:numPr>
          <w:ilvl w:val="1"/>
          <w:numId w:val="91"/>
        </w:numPr>
        <w:rPr>
          <w:sz w:val="22"/>
          <w:szCs w:val="22"/>
        </w:rPr>
      </w:pPr>
      <w:r w:rsidRPr="00956486">
        <w:rPr>
          <w:sz w:val="22"/>
          <w:szCs w:val="22"/>
        </w:rPr>
        <w:t>Sales: $1.04 billion (+4.2% YoY)</w:t>
      </w:r>
    </w:p>
    <w:p w14:paraId="46292CAF" w14:textId="77777777" w:rsidR="003B2F44" w:rsidRPr="00956486" w:rsidRDefault="003B2F44" w:rsidP="00127934">
      <w:pPr>
        <w:pStyle w:val="NormalWeb"/>
        <w:numPr>
          <w:ilvl w:val="1"/>
          <w:numId w:val="91"/>
        </w:numPr>
        <w:rPr>
          <w:sz w:val="22"/>
          <w:szCs w:val="22"/>
        </w:rPr>
      </w:pPr>
      <w:r w:rsidRPr="00956486">
        <w:rPr>
          <w:sz w:val="22"/>
          <w:szCs w:val="22"/>
        </w:rPr>
        <w:lastRenderedPageBreak/>
        <w:t>EBITDA: $201 million (+11.3% YoY); margin: 19.3% (record high)</w:t>
      </w:r>
    </w:p>
    <w:p w14:paraId="34A4085F" w14:textId="77777777" w:rsidR="003B2F44" w:rsidRPr="00956486" w:rsidRDefault="003B2F44" w:rsidP="00127934">
      <w:pPr>
        <w:pStyle w:val="NormalWeb"/>
        <w:numPr>
          <w:ilvl w:val="1"/>
          <w:numId w:val="91"/>
        </w:numPr>
        <w:rPr>
          <w:sz w:val="22"/>
          <w:szCs w:val="22"/>
        </w:rPr>
      </w:pPr>
      <w:r w:rsidRPr="00956486">
        <w:rPr>
          <w:sz w:val="22"/>
          <w:szCs w:val="22"/>
        </w:rPr>
        <w:t>Strong volumes in tubes, cores, paperboard, and paper millboard; pricing remained stable</w:t>
      </w:r>
    </w:p>
    <w:p w14:paraId="13E1F357" w14:textId="77777777" w:rsidR="003B2F44" w:rsidRPr="00956486" w:rsidRDefault="003B2F44" w:rsidP="00127934">
      <w:pPr>
        <w:pStyle w:val="NormalWeb"/>
        <w:numPr>
          <w:ilvl w:val="1"/>
          <w:numId w:val="91"/>
        </w:numPr>
        <w:rPr>
          <w:sz w:val="22"/>
          <w:szCs w:val="22"/>
        </w:rPr>
      </w:pPr>
      <w:r w:rsidRPr="00956486">
        <w:rPr>
          <w:sz w:val="22"/>
          <w:szCs w:val="22"/>
        </w:rPr>
        <w:t xml:space="preserve">U.S. Southeast operations, including </w:t>
      </w:r>
      <w:r w:rsidRPr="00956486">
        <w:rPr>
          <w:rStyle w:val="Strong"/>
          <w:rFonts w:eastAsiaTheme="majorEastAsia"/>
          <w:sz w:val="22"/>
          <w:szCs w:val="22"/>
        </w:rPr>
        <w:t>Alabama</w:t>
      </w:r>
      <w:r w:rsidRPr="00956486">
        <w:rPr>
          <w:sz w:val="22"/>
          <w:szCs w:val="22"/>
        </w:rPr>
        <w:t>, running at high efficiency and contributing to margin strength</w:t>
      </w:r>
    </w:p>
    <w:p w14:paraId="5E410760" w14:textId="77777777" w:rsidR="003B2F44" w:rsidRPr="00956486" w:rsidRDefault="003B2F44" w:rsidP="00127934">
      <w:pPr>
        <w:pStyle w:val="NormalWeb"/>
        <w:numPr>
          <w:ilvl w:val="0"/>
          <w:numId w:val="91"/>
        </w:numPr>
        <w:rPr>
          <w:sz w:val="22"/>
          <w:szCs w:val="22"/>
        </w:rPr>
      </w:pPr>
      <w:r w:rsidRPr="00956486">
        <w:rPr>
          <w:rStyle w:val="Strong"/>
          <w:rFonts w:eastAsiaTheme="majorEastAsia"/>
          <w:sz w:val="22"/>
          <w:szCs w:val="22"/>
        </w:rPr>
        <w:t>Consumer Packaging</w:t>
      </w:r>
      <w:r w:rsidRPr="00956486">
        <w:rPr>
          <w:sz w:val="22"/>
          <w:szCs w:val="22"/>
        </w:rPr>
        <w:t>:</w:t>
      </w:r>
    </w:p>
    <w:p w14:paraId="7FC4E59B" w14:textId="77777777" w:rsidR="003B2F44" w:rsidRPr="00956486" w:rsidRDefault="003B2F44" w:rsidP="00127934">
      <w:pPr>
        <w:pStyle w:val="NormalWeb"/>
        <w:numPr>
          <w:ilvl w:val="1"/>
          <w:numId w:val="91"/>
        </w:numPr>
        <w:rPr>
          <w:sz w:val="22"/>
          <w:szCs w:val="22"/>
        </w:rPr>
      </w:pPr>
      <w:r w:rsidRPr="00956486">
        <w:rPr>
          <w:sz w:val="22"/>
          <w:szCs w:val="22"/>
        </w:rPr>
        <w:t>Sales: $538 million (−1.5% YoY)</w:t>
      </w:r>
    </w:p>
    <w:p w14:paraId="3FA9758D" w14:textId="77777777" w:rsidR="003B2F44" w:rsidRPr="00956486" w:rsidRDefault="003B2F44" w:rsidP="00127934">
      <w:pPr>
        <w:pStyle w:val="NormalWeb"/>
        <w:numPr>
          <w:ilvl w:val="1"/>
          <w:numId w:val="91"/>
        </w:numPr>
        <w:rPr>
          <w:sz w:val="22"/>
          <w:szCs w:val="22"/>
        </w:rPr>
      </w:pPr>
      <w:r w:rsidRPr="00956486">
        <w:rPr>
          <w:sz w:val="22"/>
          <w:szCs w:val="22"/>
        </w:rPr>
        <w:t>EBITDA: $74 million (flat); margin: 13.7%</w:t>
      </w:r>
    </w:p>
    <w:p w14:paraId="630F8101" w14:textId="77777777" w:rsidR="003B2F44" w:rsidRPr="00956486" w:rsidRDefault="003B2F44" w:rsidP="00127934">
      <w:pPr>
        <w:pStyle w:val="NormalWeb"/>
        <w:numPr>
          <w:ilvl w:val="1"/>
          <w:numId w:val="91"/>
        </w:numPr>
        <w:rPr>
          <w:sz w:val="22"/>
          <w:szCs w:val="22"/>
        </w:rPr>
      </w:pPr>
      <w:r w:rsidRPr="00956486">
        <w:rPr>
          <w:sz w:val="22"/>
          <w:szCs w:val="22"/>
        </w:rPr>
        <w:t>Food can and metal packaging volumes soft in Europe; North America flat</w:t>
      </w:r>
    </w:p>
    <w:p w14:paraId="64D4FAF2" w14:textId="77777777" w:rsidR="003B2F44" w:rsidRPr="00956486" w:rsidRDefault="003B2F44" w:rsidP="00127934">
      <w:pPr>
        <w:pStyle w:val="NormalWeb"/>
        <w:numPr>
          <w:ilvl w:val="1"/>
          <w:numId w:val="91"/>
        </w:numPr>
        <w:rPr>
          <w:sz w:val="22"/>
          <w:szCs w:val="22"/>
        </w:rPr>
      </w:pPr>
      <w:r w:rsidRPr="00956486">
        <w:rPr>
          <w:sz w:val="22"/>
          <w:szCs w:val="22"/>
        </w:rPr>
        <w:t>Flexible packaging and paper-based containers showing modest growth</w:t>
      </w:r>
    </w:p>
    <w:p w14:paraId="59AC1238" w14:textId="77777777" w:rsidR="003B2F44" w:rsidRPr="00956486" w:rsidRDefault="003B2F44" w:rsidP="00127934">
      <w:pPr>
        <w:pStyle w:val="NormalWeb"/>
        <w:numPr>
          <w:ilvl w:val="0"/>
          <w:numId w:val="91"/>
        </w:numPr>
        <w:rPr>
          <w:sz w:val="22"/>
          <w:szCs w:val="22"/>
        </w:rPr>
      </w:pPr>
      <w:r w:rsidRPr="00956486">
        <w:rPr>
          <w:rStyle w:val="Strong"/>
          <w:rFonts w:eastAsiaTheme="majorEastAsia"/>
          <w:sz w:val="22"/>
          <w:szCs w:val="22"/>
        </w:rPr>
        <w:t>Protective Solutions</w:t>
      </w:r>
      <w:r w:rsidRPr="00956486">
        <w:rPr>
          <w:sz w:val="22"/>
          <w:szCs w:val="22"/>
        </w:rPr>
        <w:t>:</w:t>
      </w:r>
    </w:p>
    <w:p w14:paraId="3943D54C" w14:textId="77777777" w:rsidR="003B2F44" w:rsidRPr="00956486" w:rsidRDefault="003B2F44" w:rsidP="00127934">
      <w:pPr>
        <w:pStyle w:val="NormalWeb"/>
        <w:numPr>
          <w:ilvl w:val="1"/>
          <w:numId w:val="91"/>
        </w:numPr>
        <w:rPr>
          <w:sz w:val="22"/>
          <w:szCs w:val="22"/>
        </w:rPr>
      </w:pPr>
      <w:r w:rsidRPr="00956486">
        <w:rPr>
          <w:sz w:val="22"/>
          <w:szCs w:val="22"/>
        </w:rPr>
        <w:t>Sales: $282 million (+5.6% YoY)</w:t>
      </w:r>
    </w:p>
    <w:p w14:paraId="7A5A8E1C" w14:textId="77777777" w:rsidR="003B2F44" w:rsidRPr="00956486" w:rsidRDefault="003B2F44" w:rsidP="00127934">
      <w:pPr>
        <w:pStyle w:val="NormalWeb"/>
        <w:numPr>
          <w:ilvl w:val="1"/>
          <w:numId w:val="91"/>
        </w:numPr>
        <w:rPr>
          <w:sz w:val="22"/>
          <w:szCs w:val="22"/>
        </w:rPr>
      </w:pPr>
      <w:r w:rsidRPr="00956486">
        <w:rPr>
          <w:sz w:val="22"/>
          <w:szCs w:val="22"/>
        </w:rPr>
        <w:t>EBITDA: $66 million (+8.3%); margin: 23.4%</w:t>
      </w:r>
    </w:p>
    <w:p w14:paraId="7F0ACFA4" w14:textId="77777777" w:rsidR="003B2F44" w:rsidRPr="00956486" w:rsidRDefault="003B2F44" w:rsidP="00127934">
      <w:pPr>
        <w:pStyle w:val="NormalWeb"/>
        <w:numPr>
          <w:ilvl w:val="1"/>
          <w:numId w:val="91"/>
        </w:numPr>
        <w:rPr>
          <w:sz w:val="22"/>
          <w:szCs w:val="22"/>
        </w:rPr>
      </w:pPr>
      <w:r w:rsidRPr="00956486">
        <w:rPr>
          <w:sz w:val="22"/>
          <w:szCs w:val="22"/>
        </w:rPr>
        <w:t>Strength in appliance, HVAC, and durable goods channels</w:t>
      </w:r>
    </w:p>
    <w:p w14:paraId="5CCCB000" w14:textId="77777777" w:rsidR="003B2F44" w:rsidRPr="00956486" w:rsidRDefault="003B2F44" w:rsidP="00127934">
      <w:pPr>
        <w:pStyle w:val="NormalWeb"/>
        <w:numPr>
          <w:ilvl w:val="1"/>
          <w:numId w:val="91"/>
        </w:numPr>
        <w:rPr>
          <w:sz w:val="22"/>
          <w:szCs w:val="22"/>
        </w:rPr>
      </w:pPr>
      <w:r w:rsidRPr="00956486">
        <w:rPr>
          <w:sz w:val="22"/>
          <w:szCs w:val="22"/>
        </w:rPr>
        <w:t xml:space="preserve">Growth in fiber optic reels and molded solutions — </w:t>
      </w:r>
      <w:r w:rsidRPr="00956486">
        <w:rPr>
          <w:rStyle w:val="Strong"/>
          <w:rFonts w:eastAsiaTheme="majorEastAsia"/>
          <w:sz w:val="22"/>
          <w:szCs w:val="22"/>
        </w:rPr>
        <w:t>Hartselle, AL</w:t>
      </w:r>
      <w:r w:rsidRPr="00956486">
        <w:rPr>
          <w:sz w:val="22"/>
          <w:szCs w:val="22"/>
        </w:rPr>
        <w:t xml:space="preserve"> among top-performing plants</w:t>
      </w:r>
    </w:p>
    <w:p w14:paraId="3388DFB8" w14:textId="77777777" w:rsidR="003B2F44" w:rsidRPr="00956486" w:rsidRDefault="003B2F44" w:rsidP="00127934">
      <w:pPr>
        <w:pStyle w:val="NormalWeb"/>
        <w:numPr>
          <w:ilvl w:val="0"/>
          <w:numId w:val="91"/>
        </w:numPr>
        <w:rPr>
          <w:sz w:val="22"/>
          <w:szCs w:val="22"/>
        </w:rPr>
      </w:pPr>
      <w:r w:rsidRPr="00956486">
        <w:rPr>
          <w:rStyle w:val="Strong"/>
          <w:rFonts w:eastAsiaTheme="majorEastAsia"/>
          <w:sz w:val="22"/>
          <w:szCs w:val="22"/>
        </w:rPr>
        <w:t>Outlook</w:t>
      </w:r>
      <w:r w:rsidRPr="00956486">
        <w:rPr>
          <w:sz w:val="22"/>
          <w:szCs w:val="22"/>
        </w:rPr>
        <w:t>:</w:t>
      </w:r>
    </w:p>
    <w:p w14:paraId="24FB6904" w14:textId="77777777" w:rsidR="003B2F44" w:rsidRPr="00956486" w:rsidRDefault="003B2F44" w:rsidP="00127934">
      <w:pPr>
        <w:pStyle w:val="NormalWeb"/>
        <w:numPr>
          <w:ilvl w:val="1"/>
          <w:numId w:val="91"/>
        </w:numPr>
        <w:rPr>
          <w:sz w:val="22"/>
          <w:szCs w:val="22"/>
        </w:rPr>
      </w:pPr>
      <w:r w:rsidRPr="00956486">
        <w:rPr>
          <w:sz w:val="22"/>
          <w:szCs w:val="22"/>
        </w:rPr>
        <w:t>Q3 volumes expected to remain strong in Industrial and Protective; Consumer volumes stable with modest seasonal lift</w:t>
      </w:r>
    </w:p>
    <w:p w14:paraId="5BF889C1" w14:textId="77777777" w:rsidR="003B2F44" w:rsidRPr="00956486" w:rsidRDefault="003B2F44" w:rsidP="00127934">
      <w:pPr>
        <w:pStyle w:val="NormalWeb"/>
        <w:numPr>
          <w:ilvl w:val="1"/>
          <w:numId w:val="91"/>
        </w:numPr>
        <w:rPr>
          <w:sz w:val="22"/>
          <w:szCs w:val="22"/>
        </w:rPr>
      </w:pPr>
      <w:r w:rsidRPr="00956486">
        <w:rPr>
          <w:sz w:val="22"/>
          <w:szCs w:val="22"/>
        </w:rPr>
        <w:t>FY2025 guidance raised:</w:t>
      </w:r>
    </w:p>
    <w:p w14:paraId="68C9A001" w14:textId="77777777" w:rsidR="003B2F44" w:rsidRPr="00956486" w:rsidRDefault="003B2F44" w:rsidP="00127934">
      <w:pPr>
        <w:pStyle w:val="NormalWeb"/>
        <w:numPr>
          <w:ilvl w:val="2"/>
          <w:numId w:val="91"/>
        </w:numPr>
        <w:rPr>
          <w:sz w:val="22"/>
          <w:szCs w:val="22"/>
        </w:rPr>
      </w:pPr>
      <w:r w:rsidRPr="00956486">
        <w:rPr>
          <w:sz w:val="22"/>
          <w:szCs w:val="22"/>
        </w:rPr>
        <w:t xml:space="preserve">Adjusted EPS: </w:t>
      </w:r>
      <w:r w:rsidRPr="00956486">
        <w:rPr>
          <w:rStyle w:val="Strong"/>
          <w:rFonts w:eastAsiaTheme="majorEastAsia"/>
          <w:sz w:val="22"/>
          <w:szCs w:val="22"/>
        </w:rPr>
        <w:t>$5.30–5.45</w:t>
      </w:r>
      <w:r w:rsidRPr="00956486">
        <w:rPr>
          <w:sz w:val="22"/>
          <w:szCs w:val="22"/>
        </w:rPr>
        <w:t xml:space="preserve"> (previously $5.10–5.30)</w:t>
      </w:r>
    </w:p>
    <w:p w14:paraId="1A0C3FF9" w14:textId="77777777" w:rsidR="003B2F44" w:rsidRPr="00956486" w:rsidRDefault="003B2F44" w:rsidP="00127934">
      <w:pPr>
        <w:pStyle w:val="NormalWeb"/>
        <w:numPr>
          <w:ilvl w:val="2"/>
          <w:numId w:val="91"/>
        </w:numPr>
        <w:rPr>
          <w:sz w:val="22"/>
          <w:szCs w:val="22"/>
        </w:rPr>
      </w:pPr>
      <w:r w:rsidRPr="00956486">
        <w:rPr>
          <w:sz w:val="22"/>
          <w:szCs w:val="22"/>
        </w:rPr>
        <w:t xml:space="preserve">Free cash flow: </w:t>
      </w:r>
      <w:r w:rsidRPr="00956486">
        <w:rPr>
          <w:rStyle w:val="Strong"/>
          <w:rFonts w:eastAsiaTheme="majorEastAsia"/>
          <w:sz w:val="22"/>
          <w:szCs w:val="22"/>
        </w:rPr>
        <w:t>$580–620 million</w:t>
      </w:r>
    </w:p>
    <w:p w14:paraId="62FF05BA" w14:textId="77777777" w:rsidR="003B2F44" w:rsidRPr="00956486" w:rsidRDefault="003B2F44" w:rsidP="00127934">
      <w:pPr>
        <w:pStyle w:val="NormalWeb"/>
        <w:numPr>
          <w:ilvl w:val="1"/>
          <w:numId w:val="91"/>
        </w:numPr>
        <w:rPr>
          <w:sz w:val="22"/>
          <w:szCs w:val="22"/>
        </w:rPr>
      </w:pPr>
      <w:r w:rsidRPr="00956486">
        <w:rPr>
          <w:sz w:val="22"/>
          <w:szCs w:val="22"/>
        </w:rPr>
        <w:t>Focus remains on improving working capital efficiency, investing in automation, and sustaining high performance in U.S. core operations</w:t>
      </w:r>
    </w:p>
    <w:p w14:paraId="6C8B9B57" w14:textId="77777777" w:rsidR="003B2F44" w:rsidRPr="00956486" w:rsidRDefault="003B2F44" w:rsidP="00127934">
      <w:pPr>
        <w:pStyle w:val="NormalWeb"/>
        <w:numPr>
          <w:ilvl w:val="1"/>
          <w:numId w:val="91"/>
        </w:numPr>
        <w:rPr>
          <w:sz w:val="22"/>
          <w:szCs w:val="22"/>
        </w:rPr>
      </w:pPr>
      <w:r w:rsidRPr="00956486">
        <w:rPr>
          <w:rStyle w:val="Strong"/>
          <w:rFonts w:eastAsiaTheme="majorEastAsia"/>
          <w:sz w:val="22"/>
          <w:szCs w:val="22"/>
        </w:rPr>
        <w:t>Alabama facilities</w:t>
      </w:r>
      <w:r w:rsidRPr="00956486">
        <w:rPr>
          <w:sz w:val="22"/>
          <w:szCs w:val="22"/>
        </w:rPr>
        <w:t xml:space="preserve"> expected to remain essential contributors, with targeted investment supporting efficiency and margin expansion</w:t>
      </w:r>
    </w:p>
    <w:p w14:paraId="73C8EF00" w14:textId="77777777" w:rsidR="003B2F44" w:rsidRPr="00BC0D8E" w:rsidRDefault="003B2F44" w:rsidP="2535092B">
      <w:pPr>
        <w:rPr>
          <w:rFonts w:ascii="Times New Roman" w:eastAsia="Times New Roman" w:hAnsi="Times New Roman" w:cs="Times New Roman"/>
          <w:b/>
          <w:bCs/>
        </w:rPr>
      </w:pPr>
    </w:p>
    <w:p w14:paraId="1AB9724B" w14:textId="7BFBF377" w:rsidR="008B733A" w:rsidRPr="00BC0D8E" w:rsidRDefault="008B733A" w:rsidP="2535092B">
      <w:pPr>
        <w:rPr>
          <w:rFonts w:ascii="Times New Roman" w:hAnsi="Times New Roman" w:cs="Times New Roman"/>
          <w:b/>
          <w:bCs/>
        </w:rPr>
      </w:pPr>
    </w:p>
    <w:p w14:paraId="576264B0" w14:textId="77777777" w:rsidR="008B733A" w:rsidRPr="00BC0D8E" w:rsidRDefault="34354836" w:rsidP="005757E2">
      <w:pPr>
        <w:pStyle w:val="Heading2"/>
        <w:rPr>
          <w:rFonts w:cs="Times New Roman"/>
        </w:rPr>
      </w:pPr>
      <w:bookmarkStart w:id="131" w:name="_Toc147824700"/>
      <w:bookmarkStart w:id="132" w:name="_Toc212796788"/>
      <w:proofErr w:type="spellStart"/>
      <w:r w:rsidRPr="2535092B">
        <w:rPr>
          <w:rFonts w:cs="Times New Roman"/>
        </w:rPr>
        <w:t>Sumco</w:t>
      </w:r>
      <w:proofErr w:type="spellEnd"/>
      <w:r w:rsidRPr="2535092B">
        <w:rPr>
          <w:rFonts w:cs="Times New Roman"/>
        </w:rPr>
        <w:t xml:space="preserve"> Corporation (TSE:3436)</w:t>
      </w:r>
      <w:bookmarkEnd w:id="131"/>
      <w:bookmarkEnd w:id="132"/>
      <w:r w:rsidRPr="2535092B">
        <w:rPr>
          <w:rFonts w:cs="Times New Roman"/>
        </w:rPr>
        <w:t xml:space="preserve"> </w:t>
      </w:r>
    </w:p>
    <w:p w14:paraId="74BD8BAD" w14:textId="73413C3F" w:rsidR="008B733A" w:rsidRPr="00BC0D8E" w:rsidRDefault="02FFA956" w:rsidP="005757E2">
      <w:pPr>
        <w:pStyle w:val="Heading3"/>
        <w:rPr>
          <w:rFonts w:cs="Times New Roman"/>
        </w:rPr>
      </w:pPr>
      <w:bookmarkStart w:id="133" w:name="_Toc147824701"/>
      <w:bookmarkStart w:id="134" w:name="_Toc212796789"/>
      <w:r w:rsidRPr="2EEB26EF">
        <w:rPr>
          <w:rFonts w:cs="Times New Roman"/>
        </w:rPr>
        <w:t xml:space="preserve">Outlook: </w:t>
      </w:r>
      <w:bookmarkEnd w:id="133"/>
      <w:r w:rsidR="00D02B5E" w:rsidRPr="00AF2939">
        <w:rPr>
          <w:rFonts w:cs="Times New Roman"/>
          <w:color w:val="00B050"/>
        </w:rPr>
        <w:t>Positive</w:t>
      </w:r>
      <w:bookmarkEnd w:id="134"/>
    </w:p>
    <w:p w14:paraId="26A46096" w14:textId="163A9087" w:rsidR="008B733A" w:rsidRPr="00BC0D8E" w:rsidRDefault="02FFA956" w:rsidP="2EEB26EF">
      <w:pPr>
        <w:pStyle w:val="Heading3"/>
        <w:rPr>
          <w:rFonts w:cs="Times New Roman"/>
          <w:color w:val="00B050"/>
        </w:rPr>
      </w:pPr>
      <w:bookmarkStart w:id="135" w:name="_Toc147824702"/>
      <w:bookmarkStart w:id="136" w:name="_Toc212796790"/>
      <w:r w:rsidRPr="2EEB26EF">
        <w:rPr>
          <w:rFonts w:cs="Times New Roman"/>
        </w:rPr>
        <w:t xml:space="preserve">AL Outlook: </w:t>
      </w:r>
      <w:r w:rsidR="7F081E1C" w:rsidRPr="2EEB26EF">
        <w:rPr>
          <w:rFonts w:cs="Times New Roman"/>
          <w:color w:val="00B050"/>
        </w:rPr>
        <w:t>Positive</w:t>
      </w:r>
      <w:bookmarkEnd w:id="135"/>
      <w:bookmarkEnd w:id="136"/>
    </w:p>
    <w:p w14:paraId="0B1A3456" w14:textId="2426F657" w:rsidR="008B733A" w:rsidRPr="00BC0D8E" w:rsidRDefault="02FFA956" w:rsidP="2EEB26EF">
      <w:pPr>
        <w:rPr>
          <w:rFonts w:ascii="Times New Roman" w:eastAsia="Calibri" w:hAnsi="Times New Roman" w:cs="Times New Roman"/>
        </w:rPr>
      </w:pPr>
      <w:r w:rsidRPr="2EEB26EF">
        <w:rPr>
          <w:rFonts w:ascii="Times New Roman" w:hAnsi="Times New Roman" w:cs="Times New Roman"/>
          <w:b/>
          <w:bCs/>
        </w:rPr>
        <w:t>Recommended Action:</w:t>
      </w:r>
      <w:r w:rsidRPr="2EEB26EF">
        <w:rPr>
          <w:rFonts w:ascii="Times New Roman" w:hAnsi="Times New Roman" w:cs="Times New Roman"/>
        </w:rPr>
        <w:t xml:space="preserve"> </w:t>
      </w:r>
      <w:r w:rsidR="005B632A">
        <w:rPr>
          <w:rFonts w:ascii="Times New Roman" w:hAnsi="Times New Roman" w:cs="Times New Roman"/>
        </w:rPr>
        <w:t>N/A</w:t>
      </w:r>
    </w:p>
    <w:p w14:paraId="367DC9CE" w14:textId="2115D4AD" w:rsidR="008B733A" w:rsidRPr="00BC0D8E" w:rsidRDefault="488086B1" w:rsidP="2535092B">
      <w:pPr>
        <w:rPr>
          <w:rFonts w:ascii="Times New Roman" w:eastAsia="Calibri" w:hAnsi="Times New Roman" w:cs="Times New Roman"/>
          <w:b/>
          <w:bCs/>
        </w:rPr>
      </w:pPr>
      <w:r w:rsidRPr="2535092B">
        <w:rPr>
          <w:rFonts w:ascii="Times New Roman" w:hAnsi="Times New Roman" w:cs="Times New Roman"/>
          <w:b/>
          <w:bCs/>
        </w:rPr>
        <w:t>Alabama Location(s):</w:t>
      </w:r>
      <w:r w:rsidR="3E35F564" w:rsidRPr="2535092B">
        <w:rPr>
          <w:rFonts w:ascii="Times New Roman" w:hAnsi="Times New Roman" w:cs="Times New Roman"/>
          <w:b/>
          <w:bCs/>
        </w:rPr>
        <w:t xml:space="preserve"> </w:t>
      </w:r>
      <w:r w:rsidR="3E35F564" w:rsidRPr="2535092B">
        <w:rPr>
          <w:rFonts w:ascii="Times New Roman" w:hAnsi="Times New Roman" w:cs="Times New Roman"/>
        </w:rPr>
        <w:t>Theodore: High-Purity Silicon America Corporation</w:t>
      </w:r>
      <w:r w:rsidR="2F10EDE0" w:rsidRPr="2535092B">
        <w:rPr>
          <w:rFonts w:ascii="Times New Roman" w:eastAsia="Calibri" w:hAnsi="Times New Roman" w:cs="Times New Roman"/>
          <w:b/>
          <w:bCs/>
        </w:rPr>
        <w:t xml:space="preserve"> </w:t>
      </w:r>
    </w:p>
    <w:p w14:paraId="7BB04985" w14:textId="77777777" w:rsidR="007A6182" w:rsidRPr="00956486" w:rsidRDefault="007A6182" w:rsidP="007A6182">
      <w:pPr>
        <w:pStyle w:val="NormalWeb"/>
        <w:rPr>
          <w:sz w:val="22"/>
          <w:szCs w:val="22"/>
        </w:rPr>
      </w:pPr>
      <w:r w:rsidRPr="00956486">
        <w:rPr>
          <w:rStyle w:val="Strong"/>
          <w:rFonts w:eastAsiaTheme="majorEastAsia"/>
          <w:sz w:val="22"/>
          <w:szCs w:val="22"/>
        </w:rPr>
        <w:t>Key Takeaways</w:t>
      </w:r>
    </w:p>
    <w:p w14:paraId="35017DDC" w14:textId="77777777" w:rsidR="007A6182" w:rsidRPr="00956486" w:rsidRDefault="007A6182" w:rsidP="00127934">
      <w:pPr>
        <w:pStyle w:val="NormalWeb"/>
        <w:numPr>
          <w:ilvl w:val="0"/>
          <w:numId w:val="97"/>
        </w:numPr>
        <w:rPr>
          <w:sz w:val="22"/>
          <w:szCs w:val="22"/>
        </w:rPr>
      </w:pPr>
      <w:r w:rsidRPr="00956486">
        <w:rPr>
          <w:sz w:val="22"/>
          <w:szCs w:val="22"/>
        </w:rPr>
        <w:t>SUMCO delivered a stable Q2 performance, with moderate sequential growth in 300mm wafer shipments and improving demand visibility in logic and automotive semiconductors.</w:t>
      </w:r>
    </w:p>
    <w:p w14:paraId="15463538" w14:textId="77777777" w:rsidR="007A6182" w:rsidRPr="00956486" w:rsidRDefault="007A6182" w:rsidP="00127934">
      <w:pPr>
        <w:pStyle w:val="NormalWeb"/>
        <w:numPr>
          <w:ilvl w:val="0"/>
          <w:numId w:val="97"/>
        </w:numPr>
        <w:rPr>
          <w:sz w:val="22"/>
          <w:szCs w:val="22"/>
        </w:rPr>
      </w:pPr>
      <w:r w:rsidRPr="00956486">
        <w:rPr>
          <w:sz w:val="22"/>
          <w:szCs w:val="22"/>
        </w:rPr>
        <w:t>Wafer ASPs (average selling prices) remained under pressure due to inventory adjustments and slower-than-expected recovery in memory markets.</w:t>
      </w:r>
    </w:p>
    <w:p w14:paraId="41746615" w14:textId="77777777" w:rsidR="007A6182" w:rsidRPr="00956486" w:rsidRDefault="007A6182" w:rsidP="00127934">
      <w:pPr>
        <w:pStyle w:val="NormalWeb"/>
        <w:numPr>
          <w:ilvl w:val="0"/>
          <w:numId w:val="97"/>
        </w:numPr>
        <w:rPr>
          <w:sz w:val="22"/>
          <w:szCs w:val="22"/>
        </w:rPr>
      </w:pPr>
      <w:r w:rsidRPr="00956486">
        <w:rPr>
          <w:sz w:val="22"/>
          <w:szCs w:val="22"/>
        </w:rPr>
        <w:t xml:space="preserve">SUMCO continues to emphasize </w:t>
      </w:r>
      <w:r w:rsidRPr="00956486">
        <w:rPr>
          <w:rStyle w:val="Strong"/>
          <w:rFonts w:eastAsiaTheme="majorEastAsia"/>
          <w:sz w:val="22"/>
          <w:szCs w:val="22"/>
        </w:rPr>
        <w:t>capacity investments in North America</w:t>
      </w:r>
      <w:r w:rsidRPr="00956486">
        <w:rPr>
          <w:sz w:val="22"/>
          <w:szCs w:val="22"/>
        </w:rPr>
        <w:t xml:space="preserve">, including its </w:t>
      </w:r>
      <w:r w:rsidRPr="00956486">
        <w:rPr>
          <w:rStyle w:val="Strong"/>
          <w:rFonts w:eastAsiaTheme="majorEastAsia"/>
          <w:sz w:val="22"/>
          <w:szCs w:val="22"/>
        </w:rPr>
        <w:t>Theodore, Alabama facility</w:t>
      </w:r>
      <w:r w:rsidRPr="00956486">
        <w:rPr>
          <w:sz w:val="22"/>
          <w:szCs w:val="22"/>
        </w:rPr>
        <w:t>, which supports U.S. reshoring efforts and CHIPS Act-aligned demand.</w:t>
      </w:r>
    </w:p>
    <w:p w14:paraId="297D0B12" w14:textId="77777777" w:rsidR="007A6182" w:rsidRPr="00956486" w:rsidRDefault="007A6182" w:rsidP="00127934">
      <w:pPr>
        <w:pStyle w:val="NormalWeb"/>
        <w:numPr>
          <w:ilvl w:val="0"/>
          <w:numId w:val="97"/>
        </w:numPr>
        <w:rPr>
          <w:sz w:val="22"/>
          <w:szCs w:val="22"/>
        </w:rPr>
      </w:pPr>
      <w:r w:rsidRPr="00956486">
        <w:rPr>
          <w:sz w:val="22"/>
          <w:szCs w:val="22"/>
        </w:rPr>
        <w:t>Customer inventories are normalizing, particularly in logic and analog sectors; DRAM demand remains soft but expected to rebound in H2.</w:t>
      </w:r>
    </w:p>
    <w:p w14:paraId="3D1E8A68" w14:textId="77777777" w:rsidR="007A6182" w:rsidRPr="00956486" w:rsidRDefault="007A6182" w:rsidP="00127934">
      <w:pPr>
        <w:pStyle w:val="NormalWeb"/>
        <w:numPr>
          <w:ilvl w:val="0"/>
          <w:numId w:val="97"/>
        </w:numPr>
        <w:rPr>
          <w:sz w:val="22"/>
          <w:szCs w:val="22"/>
        </w:rPr>
      </w:pPr>
      <w:r w:rsidRPr="00956486">
        <w:rPr>
          <w:sz w:val="22"/>
          <w:szCs w:val="22"/>
        </w:rPr>
        <w:lastRenderedPageBreak/>
        <w:t>The company maintained FY2025 guidance, with optimism for a stronger H2 driven by AI, EV, and industrial applications.</w:t>
      </w:r>
    </w:p>
    <w:p w14:paraId="57B07B97" w14:textId="77777777" w:rsidR="007A6182" w:rsidRPr="00956486" w:rsidRDefault="007A6182" w:rsidP="00127934">
      <w:pPr>
        <w:pStyle w:val="NormalWeb"/>
        <w:numPr>
          <w:ilvl w:val="0"/>
          <w:numId w:val="97"/>
        </w:numPr>
        <w:rPr>
          <w:sz w:val="22"/>
          <w:szCs w:val="22"/>
        </w:rPr>
      </w:pPr>
      <w:proofErr w:type="spellStart"/>
      <w:r w:rsidRPr="00956486">
        <w:rPr>
          <w:sz w:val="22"/>
          <w:szCs w:val="22"/>
        </w:rPr>
        <w:t>CapEx</w:t>
      </w:r>
      <w:proofErr w:type="spellEnd"/>
      <w:r w:rsidRPr="00956486">
        <w:rPr>
          <w:sz w:val="22"/>
          <w:szCs w:val="22"/>
        </w:rPr>
        <w:t xml:space="preserve"> remains focused on productivity improvements, long-term capacity commitments, and development of ultra-flat wafers for advanced nodes.</w:t>
      </w:r>
    </w:p>
    <w:p w14:paraId="28823875" w14:textId="77777777" w:rsidR="007A6182" w:rsidRPr="00956486" w:rsidRDefault="007A6182" w:rsidP="007A6182">
      <w:pPr>
        <w:pStyle w:val="NormalWeb"/>
        <w:rPr>
          <w:sz w:val="22"/>
          <w:szCs w:val="22"/>
        </w:rPr>
      </w:pPr>
      <w:r w:rsidRPr="00956486">
        <w:rPr>
          <w:rStyle w:val="Strong"/>
          <w:rFonts w:eastAsiaTheme="majorEastAsia"/>
          <w:sz w:val="22"/>
          <w:szCs w:val="22"/>
        </w:rPr>
        <w:t>Financial Highlights</w:t>
      </w:r>
    </w:p>
    <w:p w14:paraId="26BCA9DC" w14:textId="77777777" w:rsidR="007A6182" w:rsidRPr="00956486" w:rsidRDefault="007A6182" w:rsidP="00127934">
      <w:pPr>
        <w:pStyle w:val="NormalWeb"/>
        <w:numPr>
          <w:ilvl w:val="0"/>
          <w:numId w:val="98"/>
        </w:numPr>
        <w:rPr>
          <w:sz w:val="22"/>
          <w:szCs w:val="22"/>
        </w:rPr>
      </w:pPr>
      <w:r w:rsidRPr="00956486">
        <w:rPr>
          <w:rStyle w:val="Strong"/>
          <w:rFonts w:eastAsiaTheme="majorEastAsia"/>
          <w:sz w:val="22"/>
          <w:szCs w:val="22"/>
        </w:rPr>
        <w:t>Revenue</w:t>
      </w:r>
      <w:r w:rsidRPr="00956486">
        <w:rPr>
          <w:sz w:val="22"/>
          <w:szCs w:val="22"/>
        </w:rPr>
        <w:t>: ¥170.6 billion (approx. $1.12 billion), flat QoQ, −5.2% YoY due to ASP declines.</w:t>
      </w:r>
    </w:p>
    <w:p w14:paraId="2ECD3018" w14:textId="77777777" w:rsidR="007A6182" w:rsidRPr="00956486" w:rsidRDefault="007A6182" w:rsidP="00127934">
      <w:pPr>
        <w:pStyle w:val="NormalWeb"/>
        <w:numPr>
          <w:ilvl w:val="0"/>
          <w:numId w:val="98"/>
        </w:numPr>
        <w:rPr>
          <w:sz w:val="22"/>
          <w:szCs w:val="22"/>
        </w:rPr>
      </w:pPr>
      <w:r w:rsidRPr="00956486">
        <w:rPr>
          <w:rStyle w:val="Strong"/>
          <w:rFonts w:eastAsiaTheme="majorEastAsia"/>
          <w:sz w:val="22"/>
          <w:szCs w:val="22"/>
        </w:rPr>
        <w:t>Operating income</w:t>
      </w:r>
      <w:r w:rsidRPr="00956486">
        <w:rPr>
          <w:sz w:val="22"/>
          <w:szCs w:val="22"/>
        </w:rPr>
        <w:t>: ¥22.8 billion (~$150 million), operating margin: 13.4% (down from 14.1% in Q1).</w:t>
      </w:r>
    </w:p>
    <w:p w14:paraId="10BAD406" w14:textId="77777777" w:rsidR="007A6182" w:rsidRPr="00956486" w:rsidRDefault="007A6182" w:rsidP="00127934">
      <w:pPr>
        <w:pStyle w:val="NormalWeb"/>
        <w:numPr>
          <w:ilvl w:val="0"/>
          <w:numId w:val="98"/>
        </w:numPr>
        <w:rPr>
          <w:sz w:val="22"/>
          <w:szCs w:val="22"/>
        </w:rPr>
      </w:pPr>
      <w:r w:rsidRPr="00956486">
        <w:rPr>
          <w:rStyle w:val="Strong"/>
          <w:rFonts w:eastAsiaTheme="majorEastAsia"/>
          <w:sz w:val="22"/>
          <w:szCs w:val="22"/>
        </w:rPr>
        <w:t>Net income</w:t>
      </w:r>
      <w:r w:rsidRPr="00956486">
        <w:rPr>
          <w:sz w:val="22"/>
          <w:szCs w:val="22"/>
        </w:rPr>
        <w:t>: ¥15.7 billion (~$103 million), EPS: ¥36.1, compared to ¥39.5 YoY.</w:t>
      </w:r>
    </w:p>
    <w:p w14:paraId="6A64B2B5" w14:textId="77777777" w:rsidR="007A6182" w:rsidRPr="00956486" w:rsidRDefault="007A6182" w:rsidP="00127934">
      <w:pPr>
        <w:pStyle w:val="NormalWeb"/>
        <w:numPr>
          <w:ilvl w:val="0"/>
          <w:numId w:val="98"/>
        </w:numPr>
        <w:rPr>
          <w:sz w:val="22"/>
          <w:szCs w:val="22"/>
        </w:rPr>
      </w:pPr>
      <w:r w:rsidRPr="00956486">
        <w:rPr>
          <w:rStyle w:val="Strong"/>
          <w:rFonts w:eastAsiaTheme="majorEastAsia"/>
          <w:sz w:val="22"/>
          <w:szCs w:val="22"/>
        </w:rPr>
        <w:t>Free cash flow</w:t>
      </w:r>
      <w:r w:rsidRPr="00956486">
        <w:rPr>
          <w:sz w:val="22"/>
          <w:szCs w:val="22"/>
        </w:rPr>
        <w:t>: ¥9.4 billion, bolstered by working capital improvements.</w:t>
      </w:r>
    </w:p>
    <w:p w14:paraId="3428C35D" w14:textId="77777777" w:rsidR="007A6182" w:rsidRPr="00956486" w:rsidRDefault="007A6182" w:rsidP="00127934">
      <w:pPr>
        <w:pStyle w:val="NormalWeb"/>
        <w:numPr>
          <w:ilvl w:val="0"/>
          <w:numId w:val="98"/>
        </w:numPr>
        <w:rPr>
          <w:sz w:val="22"/>
          <w:szCs w:val="22"/>
        </w:rPr>
      </w:pPr>
      <w:r w:rsidRPr="00956486">
        <w:rPr>
          <w:rStyle w:val="Strong"/>
          <w:rFonts w:eastAsiaTheme="majorEastAsia"/>
          <w:sz w:val="22"/>
          <w:szCs w:val="22"/>
        </w:rPr>
        <w:t>FX impact</w:t>
      </w:r>
      <w:r w:rsidRPr="00956486">
        <w:rPr>
          <w:sz w:val="22"/>
          <w:szCs w:val="22"/>
        </w:rPr>
        <w:t>: Positive, due to weaker yen, which supported export revenue and partially offset lower ASPs.</w:t>
      </w:r>
    </w:p>
    <w:p w14:paraId="1ADB990F" w14:textId="77777777" w:rsidR="007A6182" w:rsidRPr="00956486" w:rsidRDefault="007A6182" w:rsidP="007A6182">
      <w:pPr>
        <w:pStyle w:val="NormalWeb"/>
        <w:rPr>
          <w:sz w:val="22"/>
          <w:szCs w:val="22"/>
        </w:rPr>
      </w:pPr>
      <w:r w:rsidRPr="00956486">
        <w:rPr>
          <w:rStyle w:val="Strong"/>
          <w:rFonts w:eastAsiaTheme="majorEastAsia"/>
          <w:sz w:val="22"/>
          <w:szCs w:val="22"/>
        </w:rPr>
        <w:t>Operational Highlights</w:t>
      </w:r>
    </w:p>
    <w:p w14:paraId="758B98DB" w14:textId="77777777" w:rsidR="007A6182" w:rsidRPr="00956486" w:rsidRDefault="007A6182" w:rsidP="00127934">
      <w:pPr>
        <w:pStyle w:val="NormalWeb"/>
        <w:numPr>
          <w:ilvl w:val="0"/>
          <w:numId w:val="99"/>
        </w:numPr>
        <w:rPr>
          <w:sz w:val="22"/>
          <w:szCs w:val="22"/>
        </w:rPr>
      </w:pPr>
      <w:r w:rsidRPr="00956486">
        <w:rPr>
          <w:rStyle w:val="Strong"/>
          <w:rFonts w:eastAsiaTheme="majorEastAsia"/>
          <w:sz w:val="22"/>
          <w:szCs w:val="22"/>
        </w:rPr>
        <w:t>300mm wafer volumes increased ~2% QoQ</w:t>
      </w:r>
      <w:r w:rsidRPr="00956486">
        <w:rPr>
          <w:sz w:val="22"/>
          <w:szCs w:val="22"/>
        </w:rPr>
        <w:t>, led by logic and automotive applications; memory segment remains subdued.</w:t>
      </w:r>
    </w:p>
    <w:p w14:paraId="0774038C" w14:textId="77777777" w:rsidR="007A6182" w:rsidRPr="00956486" w:rsidRDefault="007A6182" w:rsidP="00127934">
      <w:pPr>
        <w:pStyle w:val="NormalWeb"/>
        <w:numPr>
          <w:ilvl w:val="0"/>
          <w:numId w:val="99"/>
        </w:numPr>
        <w:rPr>
          <w:sz w:val="22"/>
          <w:szCs w:val="22"/>
        </w:rPr>
      </w:pPr>
      <w:r w:rsidRPr="00956486">
        <w:rPr>
          <w:rStyle w:val="Strong"/>
          <w:rFonts w:eastAsiaTheme="majorEastAsia"/>
          <w:sz w:val="22"/>
          <w:szCs w:val="22"/>
        </w:rPr>
        <w:t>150mm/200</w:t>
      </w:r>
      <w:proofErr w:type="gramStart"/>
      <w:r w:rsidRPr="00956486">
        <w:rPr>
          <w:rStyle w:val="Strong"/>
          <w:rFonts w:eastAsiaTheme="majorEastAsia"/>
          <w:sz w:val="22"/>
          <w:szCs w:val="22"/>
        </w:rPr>
        <w:t>mm</w:t>
      </w:r>
      <w:proofErr w:type="gramEnd"/>
      <w:r w:rsidRPr="00956486">
        <w:rPr>
          <w:rStyle w:val="Strong"/>
          <w:rFonts w:eastAsiaTheme="majorEastAsia"/>
          <w:sz w:val="22"/>
          <w:szCs w:val="22"/>
        </w:rPr>
        <w:t xml:space="preserve"> wafer volumes stable</w:t>
      </w:r>
      <w:r w:rsidRPr="00956486">
        <w:rPr>
          <w:sz w:val="22"/>
          <w:szCs w:val="22"/>
        </w:rPr>
        <w:t>, with growing orders from power semiconductor customers (especially for EVs and industrial).</w:t>
      </w:r>
    </w:p>
    <w:p w14:paraId="08B8BA40" w14:textId="77777777" w:rsidR="007A6182" w:rsidRPr="00956486" w:rsidRDefault="007A6182" w:rsidP="00127934">
      <w:pPr>
        <w:pStyle w:val="NormalWeb"/>
        <w:numPr>
          <w:ilvl w:val="0"/>
          <w:numId w:val="99"/>
        </w:numPr>
        <w:rPr>
          <w:sz w:val="22"/>
          <w:szCs w:val="22"/>
        </w:rPr>
      </w:pPr>
      <w:r w:rsidRPr="00956486">
        <w:rPr>
          <w:sz w:val="22"/>
          <w:szCs w:val="22"/>
        </w:rPr>
        <w:t>Utilization rates rose slightly to ~85%, with lower line idle time in North American and Southeast Asian fabs.</w:t>
      </w:r>
    </w:p>
    <w:p w14:paraId="31CDD90E" w14:textId="77777777" w:rsidR="007A6182" w:rsidRPr="00956486" w:rsidRDefault="007A6182" w:rsidP="00127934">
      <w:pPr>
        <w:pStyle w:val="NormalWeb"/>
        <w:numPr>
          <w:ilvl w:val="0"/>
          <w:numId w:val="99"/>
        </w:numPr>
        <w:rPr>
          <w:sz w:val="22"/>
          <w:szCs w:val="22"/>
        </w:rPr>
      </w:pPr>
      <w:r w:rsidRPr="00956486">
        <w:rPr>
          <w:rStyle w:val="Strong"/>
          <w:rFonts w:eastAsiaTheme="majorEastAsia"/>
          <w:sz w:val="22"/>
          <w:szCs w:val="22"/>
        </w:rPr>
        <w:t>Theodore, Alabama plant</w:t>
      </w:r>
      <w:r w:rsidRPr="00956486">
        <w:rPr>
          <w:sz w:val="22"/>
          <w:szCs w:val="22"/>
        </w:rPr>
        <w:t xml:space="preserve"> continues to serve as a strategic production base for U.S. customers, including:</w:t>
      </w:r>
    </w:p>
    <w:p w14:paraId="410CC394" w14:textId="77777777" w:rsidR="007A6182" w:rsidRPr="00956486" w:rsidRDefault="007A6182" w:rsidP="00127934">
      <w:pPr>
        <w:pStyle w:val="NormalWeb"/>
        <w:numPr>
          <w:ilvl w:val="1"/>
          <w:numId w:val="99"/>
        </w:numPr>
        <w:rPr>
          <w:sz w:val="22"/>
          <w:szCs w:val="22"/>
        </w:rPr>
      </w:pPr>
      <w:r w:rsidRPr="00956486">
        <w:rPr>
          <w:sz w:val="22"/>
          <w:szCs w:val="22"/>
        </w:rPr>
        <w:t>Foundries ramping advanced logic nodes</w:t>
      </w:r>
    </w:p>
    <w:p w14:paraId="21B7E846" w14:textId="77777777" w:rsidR="007A6182" w:rsidRPr="00956486" w:rsidRDefault="007A6182" w:rsidP="00127934">
      <w:pPr>
        <w:pStyle w:val="NormalWeb"/>
        <w:numPr>
          <w:ilvl w:val="1"/>
          <w:numId w:val="99"/>
        </w:numPr>
        <w:rPr>
          <w:sz w:val="22"/>
          <w:szCs w:val="22"/>
        </w:rPr>
      </w:pPr>
      <w:r w:rsidRPr="00956486">
        <w:rPr>
          <w:sz w:val="22"/>
          <w:szCs w:val="22"/>
        </w:rPr>
        <w:t>Automotive analog chipmakers</w:t>
      </w:r>
    </w:p>
    <w:p w14:paraId="2756814D" w14:textId="77777777" w:rsidR="007A6182" w:rsidRPr="00956486" w:rsidRDefault="007A6182" w:rsidP="00127934">
      <w:pPr>
        <w:pStyle w:val="NormalWeb"/>
        <w:numPr>
          <w:ilvl w:val="1"/>
          <w:numId w:val="99"/>
        </w:numPr>
        <w:rPr>
          <w:sz w:val="22"/>
          <w:szCs w:val="22"/>
        </w:rPr>
      </w:pPr>
      <w:r w:rsidRPr="00956486">
        <w:rPr>
          <w:sz w:val="22"/>
          <w:szCs w:val="22"/>
        </w:rPr>
        <w:t>Power semiconductor OEMs for EVs</w:t>
      </w:r>
    </w:p>
    <w:p w14:paraId="3CAB1F78" w14:textId="77777777" w:rsidR="007A6182" w:rsidRPr="00956486" w:rsidRDefault="007A6182" w:rsidP="00127934">
      <w:pPr>
        <w:pStyle w:val="NormalWeb"/>
        <w:numPr>
          <w:ilvl w:val="0"/>
          <w:numId w:val="99"/>
        </w:numPr>
        <w:rPr>
          <w:sz w:val="22"/>
          <w:szCs w:val="22"/>
        </w:rPr>
      </w:pPr>
      <w:r w:rsidRPr="00956486">
        <w:rPr>
          <w:sz w:val="22"/>
          <w:szCs w:val="22"/>
        </w:rPr>
        <w:t xml:space="preserve">SUMCO noted U.S. customers are requesting </w:t>
      </w:r>
      <w:r w:rsidRPr="00956486">
        <w:rPr>
          <w:rStyle w:val="Strong"/>
          <w:rFonts w:eastAsiaTheme="majorEastAsia"/>
          <w:sz w:val="22"/>
          <w:szCs w:val="22"/>
        </w:rPr>
        <w:t>longer-term supply agreements (LTAs)</w:t>
      </w:r>
      <w:r w:rsidRPr="00956486">
        <w:rPr>
          <w:sz w:val="22"/>
          <w:szCs w:val="22"/>
        </w:rPr>
        <w:t xml:space="preserve"> tied to Alabama production capacity.</w:t>
      </w:r>
    </w:p>
    <w:p w14:paraId="0BE316CA" w14:textId="77777777" w:rsidR="007A6182" w:rsidRPr="00956486" w:rsidRDefault="007A6182" w:rsidP="00127934">
      <w:pPr>
        <w:pStyle w:val="NormalWeb"/>
        <w:numPr>
          <w:ilvl w:val="0"/>
          <w:numId w:val="99"/>
        </w:numPr>
        <w:rPr>
          <w:sz w:val="22"/>
          <w:szCs w:val="22"/>
        </w:rPr>
      </w:pPr>
      <w:r w:rsidRPr="00956486">
        <w:rPr>
          <w:sz w:val="22"/>
          <w:szCs w:val="22"/>
        </w:rPr>
        <w:t>Process improvements in the Alabama plant contributed to reductions in wafer defect density and edge profile stability — both critical for sub-5nm node readiness.</w:t>
      </w:r>
    </w:p>
    <w:p w14:paraId="21EDEED8" w14:textId="77777777" w:rsidR="007A6182" w:rsidRPr="00956486" w:rsidRDefault="007A6182" w:rsidP="007A6182">
      <w:pPr>
        <w:pStyle w:val="NormalWeb"/>
        <w:rPr>
          <w:sz w:val="22"/>
          <w:szCs w:val="22"/>
        </w:rPr>
      </w:pPr>
      <w:r w:rsidRPr="00956486">
        <w:rPr>
          <w:rStyle w:val="Strong"/>
          <w:rFonts w:eastAsiaTheme="majorEastAsia"/>
          <w:sz w:val="22"/>
          <w:szCs w:val="22"/>
        </w:rPr>
        <w:t>Business Expansions &amp; Capital Expenditure Plans</w:t>
      </w:r>
    </w:p>
    <w:p w14:paraId="3FF0956F" w14:textId="77777777" w:rsidR="007A6182" w:rsidRPr="00956486" w:rsidRDefault="007A6182" w:rsidP="00127934">
      <w:pPr>
        <w:pStyle w:val="NormalWeb"/>
        <w:numPr>
          <w:ilvl w:val="0"/>
          <w:numId w:val="100"/>
        </w:numPr>
        <w:rPr>
          <w:sz w:val="22"/>
          <w:szCs w:val="22"/>
        </w:rPr>
      </w:pPr>
      <w:r w:rsidRPr="00956486">
        <w:rPr>
          <w:sz w:val="22"/>
          <w:szCs w:val="22"/>
        </w:rPr>
        <w:t xml:space="preserve">Q2 </w:t>
      </w:r>
      <w:proofErr w:type="spellStart"/>
      <w:r w:rsidRPr="00956486">
        <w:rPr>
          <w:sz w:val="22"/>
          <w:szCs w:val="22"/>
        </w:rPr>
        <w:t>CapEx</w:t>
      </w:r>
      <w:proofErr w:type="spellEnd"/>
      <w:r w:rsidRPr="00956486">
        <w:rPr>
          <w:sz w:val="22"/>
          <w:szCs w:val="22"/>
        </w:rPr>
        <w:t xml:space="preserve">: ¥25.3 billion (~$167 million), with full-year 2025 </w:t>
      </w:r>
      <w:proofErr w:type="spellStart"/>
      <w:r w:rsidRPr="00956486">
        <w:rPr>
          <w:sz w:val="22"/>
          <w:szCs w:val="22"/>
        </w:rPr>
        <w:t>CapEx</w:t>
      </w:r>
      <w:proofErr w:type="spellEnd"/>
      <w:r w:rsidRPr="00956486">
        <w:rPr>
          <w:sz w:val="22"/>
          <w:szCs w:val="22"/>
        </w:rPr>
        <w:t xml:space="preserve"> expected to reach </w:t>
      </w:r>
      <w:r w:rsidRPr="00956486">
        <w:rPr>
          <w:rStyle w:val="Strong"/>
          <w:rFonts w:eastAsiaTheme="majorEastAsia"/>
          <w:sz w:val="22"/>
          <w:szCs w:val="22"/>
        </w:rPr>
        <w:t>¥100 billion (~$660 million)</w:t>
      </w:r>
      <w:r w:rsidRPr="00956486">
        <w:rPr>
          <w:sz w:val="22"/>
          <w:szCs w:val="22"/>
        </w:rPr>
        <w:t>.</w:t>
      </w:r>
    </w:p>
    <w:p w14:paraId="0BA18950" w14:textId="77777777" w:rsidR="007A6182" w:rsidRPr="00956486" w:rsidRDefault="007A6182" w:rsidP="00127934">
      <w:pPr>
        <w:pStyle w:val="NormalWeb"/>
        <w:numPr>
          <w:ilvl w:val="0"/>
          <w:numId w:val="100"/>
        </w:numPr>
        <w:rPr>
          <w:sz w:val="22"/>
          <w:szCs w:val="22"/>
        </w:rPr>
      </w:pPr>
      <w:r w:rsidRPr="00956486">
        <w:rPr>
          <w:sz w:val="22"/>
          <w:szCs w:val="22"/>
        </w:rPr>
        <w:t>Focus areas:</w:t>
      </w:r>
    </w:p>
    <w:p w14:paraId="4F1D6833" w14:textId="77777777" w:rsidR="007A6182" w:rsidRPr="00956486" w:rsidRDefault="007A6182" w:rsidP="00127934">
      <w:pPr>
        <w:pStyle w:val="NormalWeb"/>
        <w:numPr>
          <w:ilvl w:val="1"/>
          <w:numId w:val="100"/>
        </w:numPr>
        <w:rPr>
          <w:sz w:val="22"/>
          <w:szCs w:val="22"/>
        </w:rPr>
      </w:pPr>
      <w:r w:rsidRPr="00956486">
        <w:rPr>
          <w:sz w:val="22"/>
          <w:szCs w:val="22"/>
        </w:rPr>
        <w:t>Facility upgrades and automation at U.S. and Japan sites</w:t>
      </w:r>
    </w:p>
    <w:p w14:paraId="363357D3" w14:textId="77777777" w:rsidR="007A6182" w:rsidRPr="00956486" w:rsidRDefault="007A6182" w:rsidP="00127934">
      <w:pPr>
        <w:pStyle w:val="NormalWeb"/>
        <w:numPr>
          <w:ilvl w:val="1"/>
          <w:numId w:val="100"/>
        </w:numPr>
        <w:rPr>
          <w:sz w:val="22"/>
          <w:szCs w:val="22"/>
        </w:rPr>
      </w:pPr>
      <w:r w:rsidRPr="00956486">
        <w:rPr>
          <w:sz w:val="22"/>
          <w:szCs w:val="22"/>
        </w:rPr>
        <w:t>Ultra-flat wafer development for EUV lithography platforms</w:t>
      </w:r>
    </w:p>
    <w:p w14:paraId="6ABD17AF" w14:textId="77777777" w:rsidR="007A6182" w:rsidRPr="00956486" w:rsidRDefault="007A6182" w:rsidP="00127934">
      <w:pPr>
        <w:pStyle w:val="NormalWeb"/>
        <w:numPr>
          <w:ilvl w:val="1"/>
          <w:numId w:val="100"/>
        </w:numPr>
        <w:rPr>
          <w:sz w:val="22"/>
          <w:szCs w:val="22"/>
        </w:rPr>
      </w:pPr>
      <w:r w:rsidRPr="00956486">
        <w:rPr>
          <w:sz w:val="22"/>
          <w:szCs w:val="22"/>
        </w:rPr>
        <w:t>Energy reduction retrofits and cleanroom renewal</w:t>
      </w:r>
    </w:p>
    <w:p w14:paraId="73429333" w14:textId="77777777" w:rsidR="007A6182" w:rsidRPr="00956486" w:rsidRDefault="007A6182" w:rsidP="00127934">
      <w:pPr>
        <w:pStyle w:val="NormalWeb"/>
        <w:numPr>
          <w:ilvl w:val="0"/>
          <w:numId w:val="100"/>
        </w:numPr>
        <w:rPr>
          <w:sz w:val="22"/>
          <w:szCs w:val="22"/>
        </w:rPr>
      </w:pPr>
      <w:r w:rsidRPr="00956486">
        <w:rPr>
          <w:rStyle w:val="Strong"/>
          <w:rFonts w:eastAsiaTheme="majorEastAsia"/>
          <w:sz w:val="22"/>
          <w:szCs w:val="22"/>
        </w:rPr>
        <w:t>Theodore, AL facility</w:t>
      </w:r>
      <w:r w:rsidRPr="00956486">
        <w:rPr>
          <w:sz w:val="22"/>
          <w:szCs w:val="22"/>
        </w:rPr>
        <w:t xml:space="preserve"> received:</w:t>
      </w:r>
    </w:p>
    <w:p w14:paraId="5C160AAE" w14:textId="77777777" w:rsidR="007A6182" w:rsidRPr="00956486" w:rsidRDefault="007A6182" w:rsidP="00127934">
      <w:pPr>
        <w:pStyle w:val="NormalWeb"/>
        <w:numPr>
          <w:ilvl w:val="1"/>
          <w:numId w:val="100"/>
        </w:numPr>
        <w:rPr>
          <w:sz w:val="22"/>
          <w:szCs w:val="22"/>
        </w:rPr>
      </w:pPr>
      <w:r w:rsidRPr="00956486">
        <w:rPr>
          <w:rStyle w:val="Strong"/>
          <w:rFonts w:eastAsiaTheme="majorEastAsia"/>
          <w:sz w:val="22"/>
          <w:szCs w:val="22"/>
        </w:rPr>
        <w:t>New CMP polishing equipment</w:t>
      </w:r>
    </w:p>
    <w:p w14:paraId="54A4987D" w14:textId="77777777" w:rsidR="007A6182" w:rsidRPr="00956486" w:rsidRDefault="007A6182" w:rsidP="00127934">
      <w:pPr>
        <w:pStyle w:val="NormalWeb"/>
        <w:numPr>
          <w:ilvl w:val="1"/>
          <w:numId w:val="100"/>
        </w:numPr>
        <w:rPr>
          <w:sz w:val="22"/>
          <w:szCs w:val="22"/>
        </w:rPr>
      </w:pPr>
      <w:r w:rsidRPr="00956486">
        <w:rPr>
          <w:sz w:val="22"/>
          <w:szCs w:val="22"/>
        </w:rPr>
        <w:t>Expanded wafer inspection tools for edge-profile validation</w:t>
      </w:r>
    </w:p>
    <w:p w14:paraId="497AE719" w14:textId="77777777" w:rsidR="007A6182" w:rsidRPr="00956486" w:rsidRDefault="007A6182" w:rsidP="00127934">
      <w:pPr>
        <w:pStyle w:val="NormalWeb"/>
        <w:numPr>
          <w:ilvl w:val="1"/>
          <w:numId w:val="100"/>
        </w:numPr>
        <w:rPr>
          <w:sz w:val="22"/>
          <w:szCs w:val="22"/>
        </w:rPr>
      </w:pPr>
      <w:r w:rsidRPr="00956486">
        <w:rPr>
          <w:sz w:val="22"/>
          <w:szCs w:val="22"/>
        </w:rPr>
        <w:t>Debottlenecking of slicing and lapping steps to increase throughput by 15%</w:t>
      </w:r>
    </w:p>
    <w:p w14:paraId="0B00954F" w14:textId="77777777" w:rsidR="007A6182" w:rsidRPr="00956486" w:rsidRDefault="007A6182" w:rsidP="00127934">
      <w:pPr>
        <w:pStyle w:val="NormalWeb"/>
        <w:numPr>
          <w:ilvl w:val="0"/>
          <w:numId w:val="100"/>
        </w:numPr>
        <w:rPr>
          <w:sz w:val="22"/>
          <w:szCs w:val="22"/>
        </w:rPr>
      </w:pPr>
      <w:r w:rsidRPr="00956486">
        <w:rPr>
          <w:sz w:val="22"/>
          <w:szCs w:val="22"/>
        </w:rPr>
        <w:t>SUMCO is working with U.S.-based OEMs to qualify its Alabama output for next-gen automotive power ICs (</w:t>
      </w:r>
      <w:proofErr w:type="spellStart"/>
      <w:r w:rsidRPr="00956486">
        <w:rPr>
          <w:sz w:val="22"/>
          <w:szCs w:val="22"/>
        </w:rPr>
        <w:t>SiC</w:t>
      </w:r>
      <w:proofErr w:type="spellEnd"/>
      <w:r w:rsidRPr="00956486">
        <w:rPr>
          <w:sz w:val="22"/>
          <w:szCs w:val="22"/>
        </w:rPr>
        <w:t xml:space="preserve"> and </w:t>
      </w:r>
      <w:proofErr w:type="spellStart"/>
      <w:r w:rsidRPr="00956486">
        <w:rPr>
          <w:sz w:val="22"/>
          <w:szCs w:val="22"/>
        </w:rPr>
        <w:t>GaN</w:t>
      </w:r>
      <w:proofErr w:type="spellEnd"/>
      <w:r w:rsidRPr="00956486">
        <w:rPr>
          <w:sz w:val="22"/>
          <w:szCs w:val="22"/>
        </w:rPr>
        <w:t>-on-Si).</w:t>
      </w:r>
    </w:p>
    <w:p w14:paraId="306CA867" w14:textId="77777777" w:rsidR="007A6182" w:rsidRPr="00956486" w:rsidRDefault="007A6182" w:rsidP="007A6182">
      <w:pPr>
        <w:pStyle w:val="NormalWeb"/>
        <w:rPr>
          <w:sz w:val="22"/>
          <w:szCs w:val="22"/>
        </w:rPr>
      </w:pPr>
      <w:r w:rsidRPr="00956486">
        <w:rPr>
          <w:rStyle w:val="Strong"/>
          <w:rFonts w:eastAsiaTheme="majorEastAsia"/>
          <w:sz w:val="22"/>
          <w:szCs w:val="22"/>
        </w:rPr>
        <w:t>Segment Performance &amp; Outlook</w:t>
      </w:r>
    </w:p>
    <w:p w14:paraId="538553CE" w14:textId="77777777" w:rsidR="007A6182" w:rsidRPr="00956486" w:rsidRDefault="007A6182" w:rsidP="00127934">
      <w:pPr>
        <w:pStyle w:val="NormalWeb"/>
        <w:numPr>
          <w:ilvl w:val="0"/>
          <w:numId w:val="101"/>
        </w:numPr>
        <w:rPr>
          <w:sz w:val="22"/>
          <w:szCs w:val="22"/>
        </w:rPr>
      </w:pPr>
      <w:r w:rsidRPr="00956486">
        <w:rPr>
          <w:rStyle w:val="Strong"/>
          <w:rFonts w:eastAsiaTheme="majorEastAsia"/>
          <w:sz w:val="22"/>
          <w:szCs w:val="22"/>
        </w:rPr>
        <w:lastRenderedPageBreak/>
        <w:t>300mm Wafer Segment</w:t>
      </w:r>
      <w:r w:rsidRPr="00956486">
        <w:rPr>
          <w:sz w:val="22"/>
          <w:szCs w:val="22"/>
        </w:rPr>
        <w:t>:</w:t>
      </w:r>
    </w:p>
    <w:p w14:paraId="3CECDE40" w14:textId="77777777" w:rsidR="007A6182" w:rsidRPr="00956486" w:rsidRDefault="007A6182" w:rsidP="00127934">
      <w:pPr>
        <w:pStyle w:val="NormalWeb"/>
        <w:numPr>
          <w:ilvl w:val="1"/>
          <w:numId w:val="101"/>
        </w:numPr>
        <w:rPr>
          <w:sz w:val="22"/>
          <w:szCs w:val="22"/>
        </w:rPr>
      </w:pPr>
      <w:r w:rsidRPr="00956486">
        <w:rPr>
          <w:sz w:val="22"/>
          <w:szCs w:val="22"/>
        </w:rPr>
        <w:t>Volume up 2% QoQ</w:t>
      </w:r>
    </w:p>
    <w:p w14:paraId="661723FA" w14:textId="77777777" w:rsidR="007A6182" w:rsidRPr="00956486" w:rsidRDefault="007A6182" w:rsidP="00127934">
      <w:pPr>
        <w:pStyle w:val="NormalWeb"/>
        <w:numPr>
          <w:ilvl w:val="1"/>
          <w:numId w:val="101"/>
        </w:numPr>
        <w:rPr>
          <w:sz w:val="22"/>
          <w:szCs w:val="22"/>
        </w:rPr>
      </w:pPr>
      <w:r w:rsidRPr="00956486">
        <w:rPr>
          <w:sz w:val="22"/>
          <w:szCs w:val="22"/>
        </w:rPr>
        <w:t>ASP down 1.5% sequentially; pricing pressure mainly from memory segment</w:t>
      </w:r>
    </w:p>
    <w:p w14:paraId="20CC08C9" w14:textId="77777777" w:rsidR="007A6182" w:rsidRPr="00956486" w:rsidRDefault="007A6182" w:rsidP="00127934">
      <w:pPr>
        <w:pStyle w:val="NormalWeb"/>
        <w:numPr>
          <w:ilvl w:val="1"/>
          <w:numId w:val="101"/>
        </w:numPr>
        <w:rPr>
          <w:sz w:val="22"/>
          <w:szCs w:val="22"/>
        </w:rPr>
      </w:pPr>
      <w:r w:rsidRPr="00956486">
        <w:rPr>
          <w:sz w:val="22"/>
          <w:szCs w:val="22"/>
        </w:rPr>
        <w:t>Automotive and AI server demand expected to drive stronger H2</w:t>
      </w:r>
    </w:p>
    <w:p w14:paraId="4E79CE20" w14:textId="77777777" w:rsidR="007A6182" w:rsidRPr="00956486" w:rsidRDefault="007A6182" w:rsidP="00127934">
      <w:pPr>
        <w:pStyle w:val="NormalWeb"/>
        <w:numPr>
          <w:ilvl w:val="1"/>
          <w:numId w:val="101"/>
        </w:numPr>
        <w:rPr>
          <w:sz w:val="22"/>
          <w:szCs w:val="22"/>
        </w:rPr>
      </w:pPr>
      <w:r w:rsidRPr="00956486">
        <w:rPr>
          <w:sz w:val="22"/>
          <w:szCs w:val="22"/>
        </w:rPr>
        <w:t>Alabama output prioritized for long-term logic and EV customers</w:t>
      </w:r>
    </w:p>
    <w:p w14:paraId="31E589ED" w14:textId="77777777" w:rsidR="007A6182" w:rsidRPr="00956486" w:rsidRDefault="007A6182" w:rsidP="00127934">
      <w:pPr>
        <w:pStyle w:val="NormalWeb"/>
        <w:numPr>
          <w:ilvl w:val="0"/>
          <w:numId w:val="101"/>
        </w:numPr>
        <w:rPr>
          <w:sz w:val="22"/>
          <w:szCs w:val="22"/>
        </w:rPr>
      </w:pPr>
      <w:r w:rsidRPr="00956486">
        <w:rPr>
          <w:rStyle w:val="Strong"/>
          <w:rFonts w:eastAsiaTheme="majorEastAsia"/>
          <w:sz w:val="22"/>
          <w:szCs w:val="22"/>
        </w:rPr>
        <w:t>200mm/150mm Wafer Segment</w:t>
      </w:r>
      <w:r w:rsidRPr="00956486">
        <w:rPr>
          <w:sz w:val="22"/>
          <w:szCs w:val="22"/>
        </w:rPr>
        <w:t>:</w:t>
      </w:r>
    </w:p>
    <w:p w14:paraId="4DE91CF1" w14:textId="77777777" w:rsidR="007A6182" w:rsidRPr="00956486" w:rsidRDefault="007A6182" w:rsidP="00127934">
      <w:pPr>
        <w:pStyle w:val="NormalWeb"/>
        <w:numPr>
          <w:ilvl w:val="1"/>
          <w:numId w:val="101"/>
        </w:numPr>
        <w:rPr>
          <w:sz w:val="22"/>
          <w:szCs w:val="22"/>
        </w:rPr>
      </w:pPr>
      <w:r w:rsidRPr="00956486">
        <w:rPr>
          <w:sz w:val="22"/>
          <w:szCs w:val="22"/>
        </w:rPr>
        <w:t>Flat volume; stable pricing</w:t>
      </w:r>
    </w:p>
    <w:p w14:paraId="03082D36" w14:textId="77777777" w:rsidR="007A6182" w:rsidRPr="00956486" w:rsidRDefault="007A6182" w:rsidP="00127934">
      <w:pPr>
        <w:pStyle w:val="NormalWeb"/>
        <w:numPr>
          <w:ilvl w:val="1"/>
          <w:numId w:val="101"/>
        </w:numPr>
        <w:rPr>
          <w:sz w:val="22"/>
          <w:szCs w:val="22"/>
        </w:rPr>
      </w:pPr>
      <w:r w:rsidRPr="00956486">
        <w:rPr>
          <w:sz w:val="22"/>
          <w:szCs w:val="22"/>
        </w:rPr>
        <w:t xml:space="preserve">Analog and power devices remain the main growth </w:t>
      </w:r>
      <w:proofErr w:type="gramStart"/>
      <w:r w:rsidRPr="00956486">
        <w:rPr>
          <w:sz w:val="22"/>
          <w:szCs w:val="22"/>
        </w:rPr>
        <w:t>drivers</w:t>
      </w:r>
      <w:proofErr w:type="gramEnd"/>
    </w:p>
    <w:p w14:paraId="6BBB140E" w14:textId="77777777" w:rsidR="007A6182" w:rsidRPr="00956486" w:rsidRDefault="007A6182" w:rsidP="00127934">
      <w:pPr>
        <w:pStyle w:val="NormalWeb"/>
        <w:numPr>
          <w:ilvl w:val="1"/>
          <w:numId w:val="101"/>
        </w:numPr>
        <w:rPr>
          <w:sz w:val="22"/>
          <w:szCs w:val="22"/>
        </w:rPr>
      </w:pPr>
      <w:r w:rsidRPr="00956486">
        <w:rPr>
          <w:sz w:val="22"/>
          <w:szCs w:val="22"/>
        </w:rPr>
        <w:t>SUMCO targeting increased share in U.S. industrial and defense markets</w:t>
      </w:r>
    </w:p>
    <w:p w14:paraId="02FD5A13" w14:textId="77777777" w:rsidR="007A6182" w:rsidRPr="00956486" w:rsidRDefault="007A6182" w:rsidP="00127934">
      <w:pPr>
        <w:pStyle w:val="NormalWeb"/>
        <w:numPr>
          <w:ilvl w:val="0"/>
          <w:numId w:val="101"/>
        </w:numPr>
        <w:rPr>
          <w:sz w:val="22"/>
          <w:szCs w:val="22"/>
        </w:rPr>
      </w:pPr>
      <w:r w:rsidRPr="00956486">
        <w:rPr>
          <w:rStyle w:val="Strong"/>
          <w:rFonts w:eastAsiaTheme="majorEastAsia"/>
          <w:sz w:val="22"/>
          <w:szCs w:val="22"/>
        </w:rPr>
        <w:t>Outlook</w:t>
      </w:r>
      <w:r w:rsidRPr="00956486">
        <w:rPr>
          <w:sz w:val="22"/>
          <w:szCs w:val="22"/>
        </w:rPr>
        <w:t>:</w:t>
      </w:r>
    </w:p>
    <w:p w14:paraId="4C752E31" w14:textId="77777777" w:rsidR="007A6182" w:rsidRPr="00956486" w:rsidRDefault="007A6182" w:rsidP="00127934">
      <w:pPr>
        <w:pStyle w:val="NormalWeb"/>
        <w:numPr>
          <w:ilvl w:val="1"/>
          <w:numId w:val="101"/>
        </w:numPr>
        <w:rPr>
          <w:sz w:val="22"/>
          <w:szCs w:val="22"/>
        </w:rPr>
      </w:pPr>
      <w:r w:rsidRPr="00956486">
        <w:rPr>
          <w:sz w:val="22"/>
          <w:szCs w:val="22"/>
        </w:rPr>
        <w:t>FY2025 revenue guidance reaffirmed: ¥680–700 billion</w:t>
      </w:r>
    </w:p>
    <w:p w14:paraId="4679FCD9" w14:textId="77777777" w:rsidR="007A6182" w:rsidRPr="00956486" w:rsidRDefault="007A6182" w:rsidP="00127934">
      <w:pPr>
        <w:pStyle w:val="NormalWeb"/>
        <w:numPr>
          <w:ilvl w:val="1"/>
          <w:numId w:val="101"/>
        </w:numPr>
        <w:rPr>
          <w:sz w:val="22"/>
          <w:szCs w:val="22"/>
        </w:rPr>
      </w:pPr>
      <w:proofErr w:type="spellStart"/>
      <w:r w:rsidRPr="00956486">
        <w:rPr>
          <w:sz w:val="22"/>
          <w:szCs w:val="22"/>
        </w:rPr>
        <w:t>CapEx</w:t>
      </w:r>
      <w:proofErr w:type="spellEnd"/>
      <w:r w:rsidRPr="00956486">
        <w:rPr>
          <w:sz w:val="22"/>
          <w:szCs w:val="22"/>
        </w:rPr>
        <w:t>: ¥100 billion focused on future nodes, automation, and sustainability</w:t>
      </w:r>
    </w:p>
    <w:p w14:paraId="50E5E2A7" w14:textId="77777777" w:rsidR="007A6182" w:rsidRPr="00956486" w:rsidRDefault="007A6182" w:rsidP="00127934">
      <w:pPr>
        <w:pStyle w:val="NormalWeb"/>
        <w:numPr>
          <w:ilvl w:val="1"/>
          <w:numId w:val="101"/>
        </w:numPr>
        <w:rPr>
          <w:sz w:val="22"/>
          <w:szCs w:val="22"/>
        </w:rPr>
      </w:pPr>
      <w:r w:rsidRPr="00956486">
        <w:rPr>
          <w:sz w:val="22"/>
          <w:szCs w:val="22"/>
        </w:rPr>
        <w:t>H2 expected to be stronger with:</w:t>
      </w:r>
    </w:p>
    <w:p w14:paraId="1E3507FF" w14:textId="77777777" w:rsidR="007A6182" w:rsidRPr="00956486" w:rsidRDefault="007A6182" w:rsidP="00127934">
      <w:pPr>
        <w:pStyle w:val="NormalWeb"/>
        <w:numPr>
          <w:ilvl w:val="2"/>
          <w:numId w:val="101"/>
        </w:numPr>
        <w:rPr>
          <w:sz w:val="22"/>
          <w:szCs w:val="22"/>
        </w:rPr>
      </w:pPr>
      <w:r w:rsidRPr="00956486">
        <w:rPr>
          <w:sz w:val="22"/>
          <w:szCs w:val="22"/>
        </w:rPr>
        <w:t>Improved DRAM demand</w:t>
      </w:r>
    </w:p>
    <w:p w14:paraId="7380879E" w14:textId="77777777" w:rsidR="007A6182" w:rsidRPr="00956486" w:rsidRDefault="007A6182" w:rsidP="00127934">
      <w:pPr>
        <w:pStyle w:val="NormalWeb"/>
        <w:numPr>
          <w:ilvl w:val="2"/>
          <w:numId w:val="101"/>
        </w:numPr>
        <w:rPr>
          <w:sz w:val="22"/>
          <w:szCs w:val="22"/>
        </w:rPr>
      </w:pPr>
      <w:r w:rsidRPr="00956486">
        <w:rPr>
          <w:sz w:val="22"/>
          <w:szCs w:val="22"/>
        </w:rPr>
        <w:t>AI and EV pull-ins</w:t>
      </w:r>
    </w:p>
    <w:p w14:paraId="24DFAB44" w14:textId="77777777" w:rsidR="007A6182" w:rsidRPr="00956486" w:rsidRDefault="007A6182" w:rsidP="00127934">
      <w:pPr>
        <w:pStyle w:val="NormalWeb"/>
        <w:numPr>
          <w:ilvl w:val="2"/>
          <w:numId w:val="101"/>
        </w:numPr>
        <w:rPr>
          <w:sz w:val="22"/>
          <w:szCs w:val="22"/>
        </w:rPr>
      </w:pPr>
      <w:r w:rsidRPr="00956486">
        <w:rPr>
          <w:sz w:val="22"/>
          <w:szCs w:val="22"/>
        </w:rPr>
        <w:t>Increased foundry utilization</w:t>
      </w:r>
    </w:p>
    <w:p w14:paraId="33BA14B7" w14:textId="77777777" w:rsidR="007A6182" w:rsidRPr="00956486" w:rsidRDefault="007A6182" w:rsidP="00127934">
      <w:pPr>
        <w:pStyle w:val="NormalWeb"/>
        <w:numPr>
          <w:ilvl w:val="1"/>
          <w:numId w:val="101"/>
        </w:numPr>
        <w:rPr>
          <w:sz w:val="22"/>
          <w:szCs w:val="22"/>
        </w:rPr>
      </w:pPr>
      <w:r w:rsidRPr="00956486">
        <w:rPr>
          <w:sz w:val="22"/>
          <w:szCs w:val="22"/>
        </w:rPr>
        <w:t xml:space="preserve">SUMCO emphasized its </w:t>
      </w:r>
      <w:r w:rsidRPr="00956486">
        <w:rPr>
          <w:rStyle w:val="Strong"/>
          <w:rFonts w:eastAsiaTheme="majorEastAsia"/>
          <w:sz w:val="22"/>
          <w:szCs w:val="22"/>
        </w:rPr>
        <w:t>commitment to U.S. domestic supply chain resilience</w:t>
      </w:r>
      <w:r w:rsidRPr="00956486">
        <w:rPr>
          <w:sz w:val="22"/>
          <w:szCs w:val="22"/>
        </w:rPr>
        <w:t xml:space="preserve">, with the </w:t>
      </w:r>
      <w:r w:rsidRPr="00956486">
        <w:rPr>
          <w:rStyle w:val="Strong"/>
          <w:rFonts w:eastAsiaTheme="majorEastAsia"/>
          <w:sz w:val="22"/>
          <w:szCs w:val="22"/>
        </w:rPr>
        <w:t>Theodore, Alabama facility</w:t>
      </w:r>
      <w:r w:rsidRPr="00956486">
        <w:rPr>
          <w:sz w:val="22"/>
          <w:szCs w:val="22"/>
        </w:rPr>
        <w:t xml:space="preserve"> positioned to serve CHIPS Act-aligned demand growth through 2026 and beyond</w:t>
      </w:r>
    </w:p>
    <w:p w14:paraId="1A75649D" w14:textId="0B3720BA" w:rsidR="008B733A" w:rsidRPr="00BC0D8E" w:rsidRDefault="02D8AC93" w:rsidP="2535092B">
      <w:pPr>
        <w:rPr>
          <w:rFonts w:ascii="Times New Roman" w:hAnsi="Times New Roman" w:cs="Times New Roman"/>
        </w:rPr>
      </w:pPr>
      <w:r>
        <w:br/>
      </w:r>
      <w:r w:rsidR="18EFBD7B" w:rsidRPr="2535092B">
        <w:rPr>
          <w:rFonts w:ascii="Times New Roman" w:hAnsi="Times New Roman" w:cs="Times New Roman"/>
        </w:rPr>
        <w:t xml:space="preserve">        </w:t>
      </w:r>
    </w:p>
    <w:p w14:paraId="24A1A943" w14:textId="77777777" w:rsidR="008B733A" w:rsidRPr="00BC0D8E" w:rsidRDefault="34354836" w:rsidP="005757E2">
      <w:pPr>
        <w:pStyle w:val="Heading2"/>
        <w:rPr>
          <w:rFonts w:cs="Times New Roman"/>
        </w:rPr>
      </w:pPr>
      <w:bookmarkStart w:id="137" w:name="_Toc147824703"/>
      <w:bookmarkStart w:id="138" w:name="_Toc212796791"/>
      <w:r w:rsidRPr="2535092B">
        <w:rPr>
          <w:rFonts w:cs="Times New Roman"/>
        </w:rPr>
        <w:t>Tyson Foods Inc. (</w:t>
      </w:r>
      <w:proofErr w:type="gramStart"/>
      <w:r w:rsidRPr="2535092B">
        <w:rPr>
          <w:rFonts w:cs="Times New Roman"/>
        </w:rPr>
        <w:t>NYSE:TSN</w:t>
      </w:r>
      <w:proofErr w:type="gramEnd"/>
      <w:r w:rsidRPr="2535092B">
        <w:rPr>
          <w:rFonts w:cs="Times New Roman"/>
        </w:rPr>
        <w:t>)</w:t>
      </w:r>
      <w:bookmarkEnd w:id="137"/>
      <w:bookmarkEnd w:id="138"/>
      <w:r w:rsidRPr="2535092B">
        <w:rPr>
          <w:rFonts w:cs="Times New Roman"/>
        </w:rPr>
        <w:t xml:space="preserve"> </w:t>
      </w:r>
    </w:p>
    <w:p w14:paraId="68E73B17" w14:textId="56531A0C" w:rsidR="008B733A" w:rsidRPr="00BC0D8E" w:rsidRDefault="02FFA956" w:rsidP="005757E2">
      <w:pPr>
        <w:pStyle w:val="Heading3"/>
        <w:rPr>
          <w:rFonts w:cs="Times New Roman"/>
        </w:rPr>
      </w:pPr>
      <w:bookmarkStart w:id="139" w:name="_Toc147824704"/>
      <w:bookmarkStart w:id="140" w:name="_Toc212796792"/>
      <w:r w:rsidRPr="2EEB26EF">
        <w:rPr>
          <w:rFonts w:cs="Times New Roman"/>
        </w:rPr>
        <w:t xml:space="preserve">Outlook: </w:t>
      </w:r>
      <w:r w:rsidR="56D73918" w:rsidRPr="00C82B2C">
        <w:rPr>
          <w:rFonts w:cs="Times New Roman"/>
          <w:color w:val="00B050"/>
        </w:rPr>
        <w:t>Positive</w:t>
      </w:r>
      <w:bookmarkEnd w:id="139"/>
      <w:bookmarkEnd w:id="140"/>
    </w:p>
    <w:p w14:paraId="09D2D3B3" w14:textId="441F3F7D" w:rsidR="008B733A" w:rsidRPr="00BC0D8E" w:rsidRDefault="02FFA956" w:rsidP="005757E2">
      <w:pPr>
        <w:pStyle w:val="Heading3"/>
        <w:rPr>
          <w:rFonts w:cs="Times New Roman"/>
        </w:rPr>
      </w:pPr>
      <w:bookmarkStart w:id="141" w:name="_Toc147824705"/>
      <w:bookmarkStart w:id="142" w:name="_Toc212796793"/>
      <w:r w:rsidRPr="2EEB26EF">
        <w:rPr>
          <w:rFonts w:cs="Times New Roman"/>
        </w:rPr>
        <w:t>AL Outlook:</w:t>
      </w:r>
      <w:r w:rsidR="0B950FB5" w:rsidRPr="2EEB26EF">
        <w:rPr>
          <w:rFonts w:cs="Times New Roman"/>
        </w:rPr>
        <w:t xml:space="preserve"> </w:t>
      </w:r>
      <w:r w:rsidR="0B950FB5" w:rsidRPr="00C82B2C">
        <w:rPr>
          <w:rFonts w:cs="Times New Roman"/>
          <w:color w:val="00B050"/>
        </w:rPr>
        <w:t>Positive</w:t>
      </w:r>
      <w:bookmarkEnd w:id="141"/>
      <w:bookmarkEnd w:id="142"/>
    </w:p>
    <w:p w14:paraId="7810348B" w14:textId="1A2D75A7" w:rsidR="008B733A" w:rsidRPr="00BC0D8E" w:rsidRDefault="02FFA956" w:rsidP="2535092B">
      <w:pPr>
        <w:rPr>
          <w:rFonts w:ascii="Times New Roman" w:eastAsia="Times New Roman" w:hAnsi="Times New Roman" w:cs="Times New Roman"/>
          <w:color w:val="000000" w:themeColor="text1"/>
        </w:rPr>
      </w:pPr>
      <w:r w:rsidRPr="2EEB26EF">
        <w:rPr>
          <w:rFonts w:ascii="Times New Roman" w:hAnsi="Times New Roman" w:cs="Times New Roman"/>
          <w:b/>
          <w:bCs/>
        </w:rPr>
        <w:t>Recommended Action:</w:t>
      </w:r>
      <w:r w:rsidR="00DE56E7" w:rsidRPr="00AF2939">
        <w:rPr>
          <w:rFonts w:ascii="Times New Roman" w:hAnsi="Times New Roman" w:cs="Times New Roman"/>
        </w:rPr>
        <w:t xml:space="preserve"> Engage with operations in Albertville and Blountsville </w:t>
      </w:r>
      <w:r w:rsidR="009770CC">
        <w:rPr>
          <w:rFonts w:ascii="Times New Roman" w:hAnsi="Times New Roman" w:cs="Times New Roman"/>
        </w:rPr>
        <w:t xml:space="preserve">on </w:t>
      </w:r>
      <w:proofErr w:type="gramStart"/>
      <w:r w:rsidR="009770CC">
        <w:rPr>
          <w:rFonts w:ascii="Times New Roman" w:hAnsi="Times New Roman" w:cs="Times New Roman"/>
        </w:rPr>
        <w:t>potential</w:t>
      </w:r>
      <w:r w:rsidR="00DE56E7" w:rsidRPr="00AF2939">
        <w:rPr>
          <w:rFonts w:ascii="Times New Roman" w:hAnsi="Times New Roman" w:cs="Times New Roman"/>
        </w:rPr>
        <w:t xml:space="preserve"> </w:t>
      </w:r>
      <w:r w:rsidR="009770CC">
        <w:rPr>
          <w:rFonts w:ascii="Times New Roman" w:hAnsi="Times New Roman" w:cs="Times New Roman"/>
        </w:rPr>
        <w:t>for</w:t>
      </w:r>
      <w:proofErr w:type="gramEnd"/>
      <w:r w:rsidR="009770CC">
        <w:rPr>
          <w:rFonts w:ascii="Times New Roman" w:hAnsi="Times New Roman" w:cs="Times New Roman"/>
        </w:rPr>
        <w:t xml:space="preserve"> investment to</w:t>
      </w:r>
      <w:r w:rsidR="00DE56E7" w:rsidRPr="00AF2939">
        <w:rPr>
          <w:rFonts w:ascii="Times New Roman" w:hAnsi="Times New Roman" w:cs="Times New Roman"/>
        </w:rPr>
        <w:t xml:space="preserve"> improve plant efficiency and </w:t>
      </w:r>
      <w:r w:rsidR="00AD73A7">
        <w:rPr>
          <w:rFonts w:ascii="Times New Roman" w:hAnsi="Times New Roman" w:cs="Times New Roman"/>
        </w:rPr>
        <w:t xml:space="preserve">growth in prepared foods and </w:t>
      </w:r>
      <w:r w:rsidR="00DE56E7" w:rsidRPr="00AF2939">
        <w:rPr>
          <w:rFonts w:ascii="Times New Roman" w:hAnsi="Times New Roman" w:cs="Times New Roman"/>
        </w:rPr>
        <w:t>branded</w:t>
      </w:r>
      <w:r w:rsidR="00AD73A7">
        <w:rPr>
          <w:rFonts w:ascii="Times New Roman" w:hAnsi="Times New Roman" w:cs="Times New Roman"/>
        </w:rPr>
        <w:t xml:space="preserve"> products</w:t>
      </w:r>
      <w:r w:rsidR="00DE56E7" w:rsidRPr="00AF2939">
        <w:rPr>
          <w:rFonts w:ascii="Times New Roman" w:hAnsi="Times New Roman" w:cs="Times New Roman"/>
        </w:rPr>
        <w:t>.</w:t>
      </w:r>
    </w:p>
    <w:p w14:paraId="508EC7E6" w14:textId="290A7638" w:rsidR="6D457EA7" w:rsidRDefault="45F24F4E" w:rsidP="3CA273EB">
      <w:pPr>
        <w:rPr>
          <w:rFonts w:ascii="Times New Roman" w:eastAsia="Times New Roman" w:hAnsi="Times New Roman" w:cs="Times New Roman"/>
          <w:color w:val="000000" w:themeColor="text1"/>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Albertville: Processing facility; Blountsville: Processing facility</w:t>
      </w:r>
    </w:p>
    <w:p w14:paraId="08FD9CB1" w14:textId="77777777" w:rsidR="005D1106" w:rsidRPr="00956486" w:rsidRDefault="005D1106" w:rsidP="005D1106">
      <w:pPr>
        <w:pStyle w:val="NormalWeb"/>
        <w:rPr>
          <w:sz w:val="22"/>
          <w:szCs w:val="22"/>
        </w:rPr>
      </w:pPr>
      <w:r w:rsidRPr="00956486">
        <w:rPr>
          <w:rStyle w:val="Strong"/>
          <w:rFonts w:eastAsiaTheme="majorEastAsia"/>
          <w:sz w:val="22"/>
          <w:szCs w:val="22"/>
        </w:rPr>
        <w:t>Key Takeaways</w:t>
      </w:r>
    </w:p>
    <w:p w14:paraId="0470F91D" w14:textId="77777777" w:rsidR="005D1106" w:rsidRPr="00956486" w:rsidRDefault="005D1106" w:rsidP="00127934">
      <w:pPr>
        <w:pStyle w:val="NormalWeb"/>
        <w:numPr>
          <w:ilvl w:val="0"/>
          <w:numId w:val="102"/>
        </w:numPr>
        <w:rPr>
          <w:sz w:val="22"/>
          <w:szCs w:val="22"/>
        </w:rPr>
      </w:pPr>
      <w:r w:rsidRPr="00956486">
        <w:rPr>
          <w:sz w:val="22"/>
          <w:szCs w:val="22"/>
        </w:rPr>
        <w:t xml:space="preserve">Tyson delivered its </w:t>
      </w:r>
      <w:r w:rsidRPr="00956486">
        <w:rPr>
          <w:rStyle w:val="Strong"/>
          <w:rFonts w:eastAsiaTheme="majorEastAsia"/>
          <w:sz w:val="22"/>
          <w:szCs w:val="22"/>
        </w:rPr>
        <w:t>fifth consecutive quarter</w:t>
      </w:r>
      <w:r w:rsidRPr="00956486">
        <w:rPr>
          <w:sz w:val="22"/>
          <w:szCs w:val="22"/>
        </w:rPr>
        <w:t xml:space="preserve"> of YoY growth in sales, adjusted operating income (AOI), and EPS, driven by strong performance in Chicken, Prepared Foods, and Pork, while Beef remained under pressure.</w:t>
      </w:r>
    </w:p>
    <w:p w14:paraId="7D117398" w14:textId="77777777" w:rsidR="005D1106" w:rsidRPr="00956486" w:rsidRDefault="005D1106" w:rsidP="00127934">
      <w:pPr>
        <w:pStyle w:val="NormalWeb"/>
        <w:numPr>
          <w:ilvl w:val="0"/>
          <w:numId w:val="102"/>
        </w:numPr>
        <w:rPr>
          <w:sz w:val="22"/>
          <w:szCs w:val="22"/>
        </w:rPr>
      </w:pPr>
      <w:r w:rsidRPr="00956486">
        <w:rPr>
          <w:sz w:val="22"/>
          <w:szCs w:val="22"/>
        </w:rPr>
        <w:t xml:space="preserve">Adjusted EPS of </w:t>
      </w:r>
      <w:r w:rsidRPr="00956486">
        <w:rPr>
          <w:rStyle w:val="Strong"/>
          <w:rFonts w:eastAsiaTheme="majorEastAsia"/>
          <w:sz w:val="22"/>
          <w:szCs w:val="22"/>
        </w:rPr>
        <w:t>$0.91</w:t>
      </w:r>
      <w:r w:rsidRPr="00956486">
        <w:rPr>
          <w:sz w:val="22"/>
          <w:szCs w:val="22"/>
        </w:rPr>
        <w:t xml:space="preserve"> exceeded consensus by 16.7%; sales of </w:t>
      </w:r>
      <w:r w:rsidRPr="00956486">
        <w:rPr>
          <w:rStyle w:val="Strong"/>
          <w:rFonts w:eastAsiaTheme="majorEastAsia"/>
          <w:sz w:val="22"/>
          <w:szCs w:val="22"/>
        </w:rPr>
        <w:t>$13.88 billion</w:t>
      </w:r>
      <w:r w:rsidRPr="00956486">
        <w:rPr>
          <w:sz w:val="22"/>
          <w:szCs w:val="22"/>
        </w:rPr>
        <w:t xml:space="preserve"> were up 4% YoY and above expectations.</w:t>
      </w:r>
    </w:p>
    <w:p w14:paraId="218C98EA" w14:textId="77777777" w:rsidR="005D1106" w:rsidRPr="00956486" w:rsidRDefault="005D1106" w:rsidP="00127934">
      <w:pPr>
        <w:pStyle w:val="NormalWeb"/>
        <w:numPr>
          <w:ilvl w:val="0"/>
          <w:numId w:val="102"/>
        </w:numPr>
        <w:rPr>
          <w:sz w:val="22"/>
          <w:szCs w:val="22"/>
        </w:rPr>
      </w:pPr>
      <w:r w:rsidRPr="00956486">
        <w:rPr>
          <w:sz w:val="22"/>
          <w:szCs w:val="22"/>
        </w:rPr>
        <w:t xml:space="preserve">Operating execution improvements across plants have led to fill rates over </w:t>
      </w:r>
      <w:r w:rsidRPr="00956486">
        <w:rPr>
          <w:rStyle w:val="Strong"/>
          <w:rFonts w:eastAsiaTheme="majorEastAsia"/>
          <w:sz w:val="22"/>
          <w:szCs w:val="22"/>
        </w:rPr>
        <w:t>98%</w:t>
      </w:r>
      <w:r w:rsidRPr="00956486">
        <w:rPr>
          <w:sz w:val="22"/>
          <w:szCs w:val="22"/>
        </w:rPr>
        <w:t>, the best since 2019, with meaningful gains in productivity, particularly in Chicken.</w:t>
      </w:r>
    </w:p>
    <w:p w14:paraId="29D304E1" w14:textId="77777777" w:rsidR="005D1106" w:rsidRPr="00956486" w:rsidRDefault="005D1106" w:rsidP="00127934">
      <w:pPr>
        <w:pStyle w:val="NormalWeb"/>
        <w:numPr>
          <w:ilvl w:val="0"/>
          <w:numId w:val="102"/>
        </w:numPr>
        <w:rPr>
          <w:sz w:val="22"/>
          <w:szCs w:val="22"/>
        </w:rPr>
      </w:pPr>
      <w:r w:rsidRPr="00956486">
        <w:rPr>
          <w:sz w:val="22"/>
          <w:szCs w:val="22"/>
        </w:rPr>
        <w:t xml:space="preserve">Retail volume growth was fueled by the relaunch of the Tyson brand and new value-added chicken SKUs; volume and dollar share grew in top 10 categories including </w:t>
      </w:r>
      <w:r w:rsidRPr="00956486">
        <w:rPr>
          <w:rStyle w:val="Strong"/>
          <w:rFonts w:eastAsiaTheme="majorEastAsia"/>
          <w:sz w:val="22"/>
          <w:szCs w:val="22"/>
        </w:rPr>
        <w:t>Jimmy Dean</w:t>
      </w:r>
      <w:r w:rsidRPr="00956486">
        <w:rPr>
          <w:sz w:val="22"/>
          <w:szCs w:val="22"/>
        </w:rPr>
        <w:t xml:space="preserve">, </w:t>
      </w:r>
      <w:r w:rsidRPr="00956486">
        <w:rPr>
          <w:rStyle w:val="Strong"/>
          <w:rFonts w:eastAsiaTheme="majorEastAsia"/>
          <w:sz w:val="22"/>
          <w:szCs w:val="22"/>
        </w:rPr>
        <w:t>Hillshire Farm</w:t>
      </w:r>
      <w:r w:rsidRPr="00956486">
        <w:rPr>
          <w:sz w:val="22"/>
          <w:szCs w:val="22"/>
        </w:rPr>
        <w:t xml:space="preserve">, and </w:t>
      </w:r>
      <w:r w:rsidRPr="00956486">
        <w:rPr>
          <w:rStyle w:val="Strong"/>
          <w:rFonts w:eastAsiaTheme="majorEastAsia"/>
          <w:sz w:val="22"/>
          <w:szCs w:val="22"/>
        </w:rPr>
        <w:t>Tyson Frozen Chicken</w:t>
      </w:r>
      <w:r w:rsidRPr="00956486">
        <w:rPr>
          <w:sz w:val="22"/>
          <w:szCs w:val="22"/>
        </w:rPr>
        <w:t>.</w:t>
      </w:r>
    </w:p>
    <w:p w14:paraId="1F6EE43D" w14:textId="77777777" w:rsidR="005D1106" w:rsidRPr="00956486" w:rsidRDefault="005D1106" w:rsidP="00127934">
      <w:pPr>
        <w:pStyle w:val="NormalWeb"/>
        <w:numPr>
          <w:ilvl w:val="0"/>
          <w:numId w:val="102"/>
        </w:numPr>
        <w:rPr>
          <w:sz w:val="22"/>
          <w:szCs w:val="22"/>
        </w:rPr>
      </w:pPr>
      <w:r w:rsidRPr="00956486">
        <w:rPr>
          <w:sz w:val="22"/>
          <w:szCs w:val="22"/>
        </w:rPr>
        <w:t xml:space="preserve">Net leverage declined to </w:t>
      </w:r>
      <w:r w:rsidRPr="00956486">
        <w:rPr>
          <w:rStyle w:val="Strong"/>
          <w:rFonts w:eastAsiaTheme="majorEastAsia"/>
          <w:sz w:val="22"/>
          <w:szCs w:val="22"/>
        </w:rPr>
        <w:t>2.1x</w:t>
      </w:r>
      <w:r w:rsidRPr="00956486">
        <w:rPr>
          <w:sz w:val="22"/>
          <w:szCs w:val="22"/>
        </w:rPr>
        <w:t xml:space="preserve">, with year-to-date </w:t>
      </w:r>
      <w:r w:rsidRPr="00956486">
        <w:rPr>
          <w:rStyle w:val="Strong"/>
          <w:rFonts w:eastAsiaTheme="majorEastAsia"/>
          <w:sz w:val="22"/>
          <w:szCs w:val="22"/>
        </w:rPr>
        <w:t>free cash flow of $929 million</w:t>
      </w:r>
      <w:r w:rsidRPr="00956486">
        <w:rPr>
          <w:sz w:val="22"/>
          <w:szCs w:val="22"/>
        </w:rPr>
        <w:t xml:space="preserve"> supporting share repurchases and $524 million in dividends.</w:t>
      </w:r>
    </w:p>
    <w:p w14:paraId="7C36A9FC" w14:textId="77777777" w:rsidR="005D1106" w:rsidRPr="00956486" w:rsidRDefault="005D1106" w:rsidP="00127934">
      <w:pPr>
        <w:pStyle w:val="NormalWeb"/>
        <w:numPr>
          <w:ilvl w:val="0"/>
          <w:numId w:val="102"/>
        </w:numPr>
        <w:rPr>
          <w:sz w:val="22"/>
          <w:szCs w:val="22"/>
        </w:rPr>
      </w:pPr>
      <w:r w:rsidRPr="00956486">
        <w:rPr>
          <w:sz w:val="22"/>
          <w:szCs w:val="22"/>
        </w:rPr>
        <w:t>Tyson raised full-year guidance, increasing outlooks for total AOI, Chicken, and Prepared Foods segments.</w:t>
      </w:r>
    </w:p>
    <w:p w14:paraId="582420BB" w14:textId="77777777" w:rsidR="005D1106" w:rsidRPr="00956486" w:rsidRDefault="005D1106" w:rsidP="005D1106">
      <w:pPr>
        <w:pStyle w:val="NormalWeb"/>
        <w:rPr>
          <w:sz w:val="22"/>
          <w:szCs w:val="22"/>
        </w:rPr>
      </w:pPr>
      <w:r w:rsidRPr="00956486">
        <w:rPr>
          <w:rStyle w:val="Strong"/>
          <w:rFonts w:eastAsiaTheme="majorEastAsia"/>
          <w:sz w:val="22"/>
          <w:szCs w:val="22"/>
        </w:rPr>
        <w:lastRenderedPageBreak/>
        <w:t>Financial Highlights</w:t>
      </w:r>
    </w:p>
    <w:p w14:paraId="7D088D42" w14:textId="77777777" w:rsidR="005D1106" w:rsidRPr="00956486" w:rsidRDefault="005D1106" w:rsidP="00127934">
      <w:pPr>
        <w:pStyle w:val="NormalWeb"/>
        <w:numPr>
          <w:ilvl w:val="0"/>
          <w:numId w:val="103"/>
        </w:numPr>
        <w:rPr>
          <w:sz w:val="22"/>
          <w:szCs w:val="22"/>
        </w:rPr>
      </w:pPr>
      <w:r w:rsidRPr="00956486">
        <w:rPr>
          <w:rStyle w:val="Strong"/>
          <w:rFonts w:eastAsiaTheme="majorEastAsia"/>
          <w:sz w:val="22"/>
          <w:szCs w:val="22"/>
        </w:rPr>
        <w:t>Revenue</w:t>
      </w:r>
      <w:r w:rsidRPr="00956486">
        <w:rPr>
          <w:sz w:val="22"/>
          <w:szCs w:val="22"/>
        </w:rPr>
        <w:t>: $13.88 billion (+4.0% YoY), led by gains in Chicken and Prepared Foods.</w:t>
      </w:r>
    </w:p>
    <w:p w14:paraId="4C200953" w14:textId="77777777" w:rsidR="005D1106" w:rsidRPr="00956486" w:rsidRDefault="005D1106" w:rsidP="00127934">
      <w:pPr>
        <w:pStyle w:val="NormalWeb"/>
        <w:numPr>
          <w:ilvl w:val="0"/>
          <w:numId w:val="103"/>
        </w:numPr>
        <w:rPr>
          <w:sz w:val="22"/>
          <w:szCs w:val="22"/>
        </w:rPr>
      </w:pPr>
      <w:r w:rsidRPr="00956486">
        <w:rPr>
          <w:rStyle w:val="Strong"/>
          <w:rFonts w:eastAsiaTheme="majorEastAsia"/>
          <w:sz w:val="22"/>
          <w:szCs w:val="22"/>
        </w:rPr>
        <w:t>Adjusted Operating Income (AOI)</w:t>
      </w:r>
      <w:r w:rsidRPr="00956486">
        <w:rPr>
          <w:sz w:val="22"/>
          <w:szCs w:val="22"/>
        </w:rPr>
        <w:t>: $505 million (+2.9% YoY); growth in Chicken, Prepared Foods, and Pork offsetting beef headwinds.</w:t>
      </w:r>
    </w:p>
    <w:p w14:paraId="041281CF" w14:textId="77777777" w:rsidR="005D1106" w:rsidRPr="00956486" w:rsidRDefault="005D1106" w:rsidP="00127934">
      <w:pPr>
        <w:pStyle w:val="NormalWeb"/>
        <w:numPr>
          <w:ilvl w:val="0"/>
          <w:numId w:val="103"/>
        </w:numPr>
        <w:rPr>
          <w:sz w:val="22"/>
          <w:szCs w:val="22"/>
        </w:rPr>
      </w:pPr>
      <w:r w:rsidRPr="00956486">
        <w:rPr>
          <w:rStyle w:val="Strong"/>
          <w:rFonts w:eastAsiaTheme="majorEastAsia"/>
          <w:sz w:val="22"/>
          <w:szCs w:val="22"/>
        </w:rPr>
        <w:t>Adjusted EPS</w:t>
      </w:r>
      <w:r w:rsidRPr="00956486">
        <w:rPr>
          <w:sz w:val="22"/>
          <w:szCs w:val="22"/>
        </w:rPr>
        <w:t>: $0.91 (+4.6% YoY), well above consensus ($0.78).</w:t>
      </w:r>
    </w:p>
    <w:p w14:paraId="550A8EB5" w14:textId="77777777" w:rsidR="005D1106" w:rsidRPr="00956486" w:rsidRDefault="005D1106" w:rsidP="00127934">
      <w:pPr>
        <w:pStyle w:val="NormalWeb"/>
        <w:numPr>
          <w:ilvl w:val="0"/>
          <w:numId w:val="103"/>
        </w:numPr>
        <w:rPr>
          <w:sz w:val="22"/>
          <w:szCs w:val="22"/>
        </w:rPr>
      </w:pPr>
      <w:r w:rsidRPr="00956486">
        <w:rPr>
          <w:rStyle w:val="Strong"/>
          <w:rFonts w:eastAsiaTheme="majorEastAsia"/>
          <w:sz w:val="22"/>
          <w:szCs w:val="22"/>
        </w:rPr>
        <w:t>Free Cash Flow</w:t>
      </w:r>
      <w:r w:rsidRPr="00956486">
        <w:rPr>
          <w:sz w:val="22"/>
          <w:szCs w:val="22"/>
        </w:rPr>
        <w:t>: $929 million YTD; full-year FCF expected between $1.0–1.3 billion.</w:t>
      </w:r>
    </w:p>
    <w:p w14:paraId="11118B8D" w14:textId="77777777" w:rsidR="005D1106" w:rsidRPr="00956486" w:rsidRDefault="005D1106" w:rsidP="00127934">
      <w:pPr>
        <w:pStyle w:val="NormalWeb"/>
        <w:numPr>
          <w:ilvl w:val="0"/>
          <w:numId w:val="103"/>
        </w:numPr>
        <w:rPr>
          <w:sz w:val="22"/>
          <w:szCs w:val="22"/>
        </w:rPr>
      </w:pPr>
      <w:proofErr w:type="spellStart"/>
      <w:r w:rsidRPr="00956486">
        <w:rPr>
          <w:rStyle w:val="Strong"/>
          <w:rFonts w:eastAsiaTheme="majorEastAsia"/>
          <w:sz w:val="22"/>
          <w:szCs w:val="22"/>
        </w:rPr>
        <w:t>CapEx</w:t>
      </w:r>
      <w:proofErr w:type="spellEnd"/>
      <w:r w:rsidRPr="00956486">
        <w:rPr>
          <w:sz w:val="22"/>
          <w:szCs w:val="22"/>
        </w:rPr>
        <w:t xml:space="preserve">: $691 million YTD; </w:t>
      </w:r>
      <w:proofErr w:type="gramStart"/>
      <w:r w:rsidRPr="00956486">
        <w:rPr>
          <w:sz w:val="22"/>
          <w:szCs w:val="22"/>
        </w:rPr>
        <w:t>full-year</w:t>
      </w:r>
      <w:proofErr w:type="gramEnd"/>
      <w:r w:rsidRPr="00956486">
        <w:rPr>
          <w:sz w:val="22"/>
          <w:szCs w:val="22"/>
        </w:rPr>
        <w:t xml:space="preserve"> expected below $1 billion.</w:t>
      </w:r>
    </w:p>
    <w:p w14:paraId="692352DF" w14:textId="77777777" w:rsidR="005D1106" w:rsidRPr="00956486" w:rsidRDefault="005D1106" w:rsidP="00127934">
      <w:pPr>
        <w:pStyle w:val="NormalWeb"/>
        <w:numPr>
          <w:ilvl w:val="0"/>
          <w:numId w:val="103"/>
        </w:numPr>
        <w:rPr>
          <w:sz w:val="22"/>
          <w:szCs w:val="22"/>
        </w:rPr>
      </w:pPr>
      <w:r w:rsidRPr="00956486">
        <w:rPr>
          <w:sz w:val="22"/>
          <w:szCs w:val="22"/>
        </w:rPr>
        <w:t>Returned $201 million to shareholders in Q3 via dividends and resumed share repurchases for the first time since Q1 2023.</w:t>
      </w:r>
    </w:p>
    <w:p w14:paraId="0B2F2D20" w14:textId="77777777" w:rsidR="005D1106" w:rsidRPr="00956486" w:rsidRDefault="005D1106" w:rsidP="005D1106">
      <w:pPr>
        <w:pStyle w:val="NormalWeb"/>
        <w:rPr>
          <w:sz w:val="22"/>
          <w:szCs w:val="22"/>
        </w:rPr>
      </w:pPr>
      <w:r w:rsidRPr="00956486">
        <w:rPr>
          <w:rStyle w:val="Strong"/>
          <w:rFonts w:eastAsiaTheme="majorEastAsia"/>
          <w:sz w:val="22"/>
          <w:szCs w:val="22"/>
        </w:rPr>
        <w:t>Operational Highlights</w:t>
      </w:r>
    </w:p>
    <w:p w14:paraId="2BE2DE9F" w14:textId="77777777" w:rsidR="005D1106" w:rsidRPr="00956486" w:rsidRDefault="005D1106" w:rsidP="00127934">
      <w:pPr>
        <w:pStyle w:val="NormalWeb"/>
        <w:numPr>
          <w:ilvl w:val="0"/>
          <w:numId w:val="104"/>
        </w:numPr>
        <w:rPr>
          <w:sz w:val="22"/>
          <w:szCs w:val="22"/>
        </w:rPr>
      </w:pPr>
      <w:r w:rsidRPr="00956486">
        <w:rPr>
          <w:rStyle w:val="Strong"/>
          <w:rFonts w:eastAsiaTheme="majorEastAsia"/>
          <w:sz w:val="22"/>
          <w:szCs w:val="22"/>
        </w:rPr>
        <w:t>Chicken segment</w:t>
      </w:r>
      <w:r w:rsidRPr="00956486">
        <w:rPr>
          <w:sz w:val="22"/>
          <w:szCs w:val="22"/>
        </w:rPr>
        <w:t xml:space="preserve"> delivered third consecutive quarter of volume growth; value-added chicken volume grew </w:t>
      </w:r>
      <w:r w:rsidRPr="00956486">
        <w:rPr>
          <w:rStyle w:val="Strong"/>
          <w:rFonts w:eastAsiaTheme="majorEastAsia"/>
          <w:sz w:val="22"/>
          <w:szCs w:val="22"/>
        </w:rPr>
        <w:t>3.5x</w:t>
      </w:r>
      <w:r w:rsidRPr="00956486">
        <w:rPr>
          <w:sz w:val="22"/>
          <w:szCs w:val="22"/>
        </w:rPr>
        <w:t xml:space="preserve"> faster than total volume, driving favorable mix and profitability.</w:t>
      </w:r>
    </w:p>
    <w:p w14:paraId="398343DE" w14:textId="77777777" w:rsidR="005D1106" w:rsidRPr="00956486" w:rsidRDefault="005D1106" w:rsidP="00127934">
      <w:pPr>
        <w:pStyle w:val="NormalWeb"/>
        <w:numPr>
          <w:ilvl w:val="0"/>
          <w:numId w:val="104"/>
        </w:numPr>
        <w:rPr>
          <w:sz w:val="22"/>
          <w:szCs w:val="22"/>
        </w:rPr>
      </w:pPr>
      <w:r w:rsidRPr="00956486">
        <w:rPr>
          <w:sz w:val="22"/>
          <w:szCs w:val="22"/>
        </w:rPr>
        <w:t xml:space="preserve">Plant-level efficiencies and grain cost stability were major profit contributors in Chicken; AOI up </w:t>
      </w:r>
      <w:r w:rsidRPr="00956486">
        <w:rPr>
          <w:rStyle w:val="Strong"/>
          <w:rFonts w:eastAsiaTheme="majorEastAsia"/>
          <w:sz w:val="22"/>
          <w:szCs w:val="22"/>
        </w:rPr>
        <w:t>12%</w:t>
      </w:r>
      <w:r w:rsidRPr="00956486">
        <w:rPr>
          <w:sz w:val="22"/>
          <w:szCs w:val="22"/>
        </w:rPr>
        <w:t xml:space="preserve"> YoY for the segment.</w:t>
      </w:r>
    </w:p>
    <w:p w14:paraId="7BCF67C6" w14:textId="77777777" w:rsidR="005D1106" w:rsidRPr="00956486" w:rsidRDefault="005D1106" w:rsidP="00127934">
      <w:pPr>
        <w:pStyle w:val="NormalWeb"/>
        <w:numPr>
          <w:ilvl w:val="0"/>
          <w:numId w:val="104"/>
        </w:numPr>
        <w:rPr>
          <w:sz w:val="22"/>
          <w:szCs w:val="22"/>
        </w:rPr>
      </w:pPr>
      <w:r w:rsidRPr="00956486">
        <w:rPr>
          <w:sz w:val="22"/>
          <w:szCs w:val="22"/>
        </w:rPr>
        <w:t xml:space="preserve">Operational improvements in </w:t>
      </w:r>
      <w:r w:rsidRPr="00956486">
        <w:rPr>
          <w:rStyle w:val="Strong"/>
          <w:rFonts w:eastAsiaTheme="majorEastAsia"/>
          <w:sz w:val="22"/>
          <w:szCs w:val="22"/>
        </w:rPr>
        <w:t>Prepared Foods</w:t>
      </w:r>
      <w:r w:rsidRPr="00956486">
        <w:rPr>
          <w:sz w:val="22"/>
          <w:szCs w:val="22"/>
        </w:rPr>
        <w:t xml:space="preserve"> led to highest Q3 AOI ever for the segment; margins expanded 150 bps.</w:t>
      </w:r>
    </w:p>
    <w:p w14:paraId="5ECD05BF" w14:textId="77777777" w:rsidR="005D1106" w:rsidRPr="00956486" w:rsidRDefault="005D1106" w:rsidP="00127934">
      <w:pPr>
        <w:pStyle w:val="NormalWeb"/>
        <w:numPr>
          <w:ilvl w:val="0"/>
          <w:numId w:val="104"/>
        </w:numPr>
        <w:rPr>
          <w:sz w:val="22"/>
          <w:szCs w:val="22"/>
        </w:rPr>
      </w:pPr>
      <w:r w:rsidRPr="00956486">
        <w:rPr>
          <w:sz w:val="22"/>
          <w:szCs w:val="22"/>
        </w:rPr>
        <w:t xml:space="preserve">Branded chicken volume grew 10% </w:t>
      </w:r>
      <w:proofErr w:type="gramStart"/>
      <w:r w:rsidRPr="00956486">
        <w:rPr>
          <w:sz w:val="22"/>
          <w:szCs w:val="22"/>
        </w:rPr>
        <w:t>YoY;</w:t>
      </w:r>
      <w:proofErr w:type="gramEnd"/>
      <w:r w:rsidRPr="00956486">
        <w:rPr>
          <w:sz w:val="22"/>
          <w:szCs w:val="22"/>
        </w:rPr>
        <w:t xml:space="preserve"> strong performance in </w:t>
      </w:r>
      <w:r w:rsidRPr="00956486">
        <w:rPr>
          <w:rStyle w:val="Strong"/>
          <w:rFonts w:eastAsiaTheme="majorEastAsia"/>
          <w:sz w:val="22"/>
          <w:szCs w:val="22"/>
        </w:rPr>
        <w:t>Tyson Simple Ingredients</w:t>
      </w:r>
      <w:r w:rsidRPr="00956486">
        <w:rPr>
          <w:sz w:val="22"/>
          <w:szCs w:val="22"/>
        </w:rPr>
        <w:t xml:space="preserve"> and new innovations like </w:t>
      </w:r>
      <w:r w:rsidRPr="00956486">
        <w:rPr>
          <w:rStyle w:val="Strong"/>
          <w:rFonts w:eastAsiaTheme="majorEastAsia"/>
          <w:sz w:val="22"/>
          <w:szCs w:val="22"/>
        </w:rPr>
        <w:t>Mega Dino Nuggets</w:t>
      </w:r>
      <w:r w:rsidRPr="00956486">
        <w:rPr>
          <w:sz w:val="22"/>
          <w:szCs w:val="22"/>
        </w:rPr>
        <w:t>.</w:t>
      </w:r>
    </w:p>
    <w:p w14:paraId="7A626319" w14:textId="77777777" w:rsidR="005D1106" w:rsidRPr="00956486" w:rsidRDefault="005D1106" w:rsidP="00127934">
      <w:pPr>
        <w:pStyle w:val="NormalWeb"/>
        <w:numPr>
          <w:ilvl w:val="0"/>
          <w:numId w:val="104"/>
        </w:numPr>
        <w:rPr>
          <w:sz w:val="22"/>
          <w:szCs w:val="22"/>
        </w:rPr>
      </w:pPr>
      <w:r w:rsidRPr="00956486">
        <w:rPr>
          <w:sz w:val="22"/>
          <w:szCs w:val="22"/>
        </w:rPr>
        <w:t xml:space="preserve">In Alabama, poultry operations in </w:t>
      </w:r>
      <w:r w:rsidRPr="00956486">
        <w:rPr>
          <w:rStyle w:val="Strong"/>
          <w:rFonts w:eastAsiaTheme="majorEastAsia"/>
          <w:sz w:val="22"/>
          <w:szCs w:val="22"/>
        </w:rPr>
        <w:t>Albertville</w:t>
      </w:r>
      <w:r w:rsidRPr="00956486">
        <w:rPr>
          <w:sz w:val="22"/>
          <w:szCs w:val="22"/>
        </w:rPr>
        <w:t xml:space="preserve"> and </w:t>
      </w:r>
      <w:r w:rsidRPr="00956486">
        <w:rPr>
          <w:rStyle w:val="Strong"/>
          <w:rFonts w:eastAsiaTheme="majorEastAsia"/>
          <w:sz w:val="22"/>
          <w:szCs w:val="22"/>
        </w:rPr>
        <w:t>Blountsville</w:t>
      </w:r>
      <w:r w:rsidRPr="00956486">
        <w:rPr>
          <w:sz w:val="22"/>
          <w:szCs w:val="22"/>
        </w:rPr>
        <w:t xml:space="preserve"> likely benefited from efficiency and distribution improvements noted across the national Chicken segment.</w:t>
      </w:r>
    </w:p>
    <w:p w14:paraId="2B80B9CF" w14:textId="77777777" w:rsidR="005D1106" w:rsidRPr="00956486" w:rsidRDefault="005D1106" w:rsidP="005D1106">
      <w:pPr>
        <w:pStyle w:val="NormalWeb"/>
        <w:rPr>
          <w:sz w:val="22"/>
          <w:szCs w:val="22"/>
        </w:rPr>
      </w:pPr>
      <w:r w:rsidRPr="00956486">
        <w:rPr>
          <w:rStyle w:val="Strong"/>
          <w:rFonts w:eastAsiaTheme="majorEastAsia"/>
          <w:sz w:val="22"/>
          <w:szCs w:val="22"/>
        </w:rPr>
        <w:t>Business Expansions &amp; Capital Expenditure Plans</w:t>
      </w:r>
    </w:p>
    <w:p w14:paraId="0464FA44" w14:textId="77777777" w:rsidR="005D1106" w:rsidRPr="00956486" w:rsidRDefault="005D1106" w:rsidP="00127934">
      <w:pPr>
        <w:pStyle w:val="NormalWeb"/>
        <w:numPr>
          <w:ilvl w:val="0"/>
          <w:numId w:val="105"/>
        </w:numPr>
        <w:rPr>
          <w:sz w:val="22"/>
          <w:szCs w:val="22"/>
        </w:rPr>
      </w:pPr>
      <w:r w:rsidRPr="00956486">
        <w:rPr>
          <w:sz w:val="22"/>
          <w:szCs w:val="22"/>
        </w:rPr>
        <w:t xml:space="preserve">FY2025 </w:t>
      </w:r>
      <w:proofErr w:type="spellStart"/>
      <w:r w:rsidRPr="00956486">
        <w:rPr>
          <w:sz w:val="22"/>
          <w:szCs w:val="22"/>
        </w:rPr>
        <w:t>CapEx</w:t>
      </w:r>
      <w:proofErr w:type="spellEnd"/>
      <w:r w:rsidRPr="00956486">
        <w:rPr>
          <w:sz w:val="22"/>
          <w:szCs w:val="22"/>
        </w:rPr>
        <w:t xml:space="preserve"> expected to remain under $1 billion, focused on debottlenecking and value-added production.</w:t>
      </w:r>
    </w:p>
    <w:p w14:paraId="30E1C1CB" w14:textId="77777777" w:rsidR="005D1106" w:rsidRPr="00956486" w:rsidRDefault="005D1106" w:rsidP="00127934">
      <w:pPr>
        <w:pStyle w:val="NormalWeb"/>
        <w:numPr>
          <w:ilvl w:val="0"/>
          <w:numId w:val="105"/>
        </w:numPr>
        <w:rPr>
          <w:sz w:val="22"/>
          <w:szCs w:val="22"/>
        </w:rPr>
      </w:pPr>
      <w:r w:rsidRPr="00956486">
        <w:rPr>
          <w:sz w:val="22"/>
          <w:szCs w:val="22"/>
        </w:rPr>
        <w:t>$100 million in Chicken-related investments to be completed by Q4, primarily aimed at driving branded volume and plant efficiency.</w:t>
      </w:r>
    </w:p>
    <w:p w14:paraId="5FD46056" w14:textId="77777777" w:rsidR="005D1106" w:rsidRPr="00956486" w:rsidRDefault="005D1106" w:rsidP="00127934">
      <w:pPr>
        <w:pStyle w:val="NormalWeb"/>
        <w:numPr>
          <w:ilvl w:val="0"/>
          <w:numId w:val="105"/>
        </w:numPr>
        <w:rPr>
          <w:sz w:val="22"/>
          <w:szCs w:val="22"/>
        </w:rPr>
      </w:pPr>
      <w:r w:rsidRPr="00956486">
        <w:rPr>
          <w:sz w:val="22"/>
          <w:szCs w:val="22"/>
        </w:rPr>
        <w:t xml:space="preserve">Tyson has implemented </w:t>
      </w:r>
      <w:r w:rsidRPr="00956486">
        <w:rPr>
          <w:rStyle w:val="Strong"/>
          <w:rFonts w:eastAsiaTheme="majorEastAsia"/>
          <w:sz w:val="22"/>
          <w:szCs w:val="22"/>
        </w:rPr>
        <w:t>S&amp;OP process upgrades</w:t>
      </w:r>
      <w:r w:rsidRPr="00956486">
        <w:rPr>
          <w:sz w:val="22"/>
          <w:szCs w:val="22"/>
        </w:rPr>
        <w:t>, digital tools, and data analytics to optimize supply chain decisions across plants.</w:t>
      </w:r>
    </w:p>
    <w:p w14:paraId="7180AA0B" w14:textId="77777777" w:rsidR="005D1106" w:rsidRPr="00956486" w:rsidRDefault="005D1106" w:rsidP="00127934">
      <w:pPr>
        <w:pStyle w:val="NormalWeb"/>
        <w:numPr>
          <w:ilvl w:val="0"/>
          <w:numId w:val="105"/>
        </w:numPr>
        <w:rPr>
          <w:sz w:val="22"/>
          <w:szCs w:val="22"/>
        </w:rPr>
      </w:pPr>
      <w:r w:rsidRPr="00956486">
        <w:rPr>
          <w:sz w:val="22"/>
          <w:szCs w:val="22"/>
        </w:rPr>
        <w:t>The company continues to prioritize innovation: 20+ new value-added SKUs in retail launched in past year, with expanded distribution expected in H2.</w:t>
      </w:r>
    </w:p>
    <w:p w14:paraId="700849ED" w14:textId="77777777" w:rsidR="005D1106" w:rsidRPr="00956486" w:rsidRDefault="005D1106" w:rsidP="005D1106">
      <w:pPr>
        <w:pStyle w:val="NormalWeb"/>
        <w:rPr>
          <w:sz w:val="22"/>
          <w:szCs w:val="22"/>
        </w:rPr>
      </w:pPr>
      <w:r w:rsidRPr="00956486">
        <w:rPr>
          <w:rStyle w:val="Strong"/>
          <w:rFonts w:eastAsiaTheme="majorEastAsia"/>
          <w:sz w:val="22"/>
          <w:szCs w:val="22"/>
        </w:rPr>
        <w:t>Segment Performance &amp; Outlook</w:t>
      </w:r>
    </w:p>
    <w:p w14:paraId="0908F287" w14:textId="77777777" w:rsidR="005D1106" w:rsidRPr="00956486" w:rsidRDefault="005D1106" w:rsidP="00127934">
      <w:pPr>
        <w:pStyle w:val="NormalWeb"/>
        <w:numPr>
          <w:ilvl w:val="0"/>
          <w:numId w:val="106"/>
        </w:numPr>
        <w:rPr>
          <w:sz w:val="22"/>
          <w:szCs w:val="22"/>
        </w:rPr>
      </w:pPr>
      <w:r w:rsidRPr="00956486">
        <w:rPr>
          <w:rStyle w:val="Strong"/>
          <w:rFonts w:eastAsiaTheme="majorEastAsia"/>
          <w:sz w:val="22"/>
          <w:szCs w:val="22"/>
        </w:rPr>
        <w:t>Chicken</w:t>
      </w:r>
      <w:r w:rsidRPr="00956486">
        <w:rPr>
          <w:sz w:val="22"/>
          <w:szCs w:val="22"/>
        </w:rPr>
        <w:t>:</w:t>
      </w:r>
    </w:p>
    <w:p w14:paraId="374CC809" w14:textId="77777777" w:rsidR="005D1106" w:rsidRPr="00956486" w:rsidRDefault="005D1106" w:rsidP="00127934">
      <w:pPr>
        <w:pStyle w:val="NormalWeb"/>
        <w:numPr>
          <w:ilvl w:val="1"/>
          <w:numId w:val="106"/>
        </w:numPr>
        <w:rPr>
          <w:sz w:val="22"/>
          <w:szCs w:val="22"/>
        </w:rPr>
      </w:pPr>
      <w:r w:rsidRPr="00956486">
        <w:rPr>
          <w:sz w:val="22"/>
          <w:szCs w:val="22"/>
        </w:rPr>
        <w:t>Sales +3.5% YoY; AOI +12%</w:t>
      </w:r>
    </w:p>
    <w:p w14:paraId="17A2D471" w14:textId="77777777" w:rsidR="005D1106" w:rsidRPr="00956486" w:rsidRDefault="005D1106" w:rsidP="00127934">
      <w:pPr>
        <w:pStyle w:val="NormalWeb"/>
        <w:numPr>
          <w:ilvl w:val="1"/>
          <w:numId w:val="106"/>
        </w:numPr>
        <w:rPr>
          <w:sz w:val="22"/>
          <w:szCs w:val="22"/>
        </w:rPr>
      </w:pPr>
      <w:r w:rsidRPr="00956486">
        <w:rPr>
          <w:sz w:val="22"/>
          <w:szCs w:val="22"/>
        </w:rPr>
        <w:t xml:space="preserve">Value-added products </w:t>
      </w:r>
      <w:proofErr w:type="gramStart"/>
      <w:r w:rsidRPr="00956486">
        <w:rPr>
          <w:sz w:val="22"/>
          <w:szCs w:val="22"/>
        </w:rPr>
        <w:t>led</w:t>
      </w:r>
      <w:proofErr w:type="gramEnd"/>
      <w:r w:rsidRPr="00956486">
        <w:rPr>
          <w:sz w:val="22"/>
          <w:szCs w:val="22"/>
        </w:rPr>
        <w:t xml:space="preserve"> growth, up 8.8% in Q3.</w:t>
      </w:r>
    </w:p>
    <w:p w14:paraId="5CBCBE5A" w14:textId="77777777" w:rsidR="005D1106" w:rsidRPr="00956486" w:rsidRDefault="005D1106" w:rsidP="00127934">
      <w:pPr>
        <w:pStyle w:val="NormalWeb"/>
        <w:numPr>
          <w:ilvl w:val="1"/>
          <w:numId w:val="106"/>
        </w:numPr>
        <w:rPr>
          <w:sz w:val="22"/>
          <w:szCs w:val="22"/>
        </w:rPr>
      </w:pPr>
      <w:r w:rsidRPr="00956486">
        <w:rPr>
          <w:sz w:val="22"/>
          <w:szCs w:val="22"/>
        </w:rPr>
        <w:t xml:space="preserve">Full-year AOI guidance raised to </w:t>
      </w:r>
      <w:r w:rsidRPr="00956486">
        <w:rPr>
          <w:rStyle w:val="Strong"/>
          <w:rFonts w:eastAsiaTheme="majorEastAsia"/>
          <w:sz w:val="22"/>
          <w:szCs w:val="22"/>
        </w:rPr>
        <w:t>$1.3–1.4 billion</w:t>
      </w:r>
      <w:r w:rsidRPr="00956486">
        <w:rPr>
          <w:sz w:val="22"/>
          <w:szCs w:val="22"/>
        </w:rPr>
        <w:t>, a 33% YoY increase at midpoint.</w:t>
      </w:r>
    </w:p>
    <w:p w14:paraId="4FDF7197" w14:textId="77777777" w:rsidR="005D1106" w:rsidRPr="00956486" w:rsidRDefault="005D1106" w:rsidP="00127934">
      <w:pPr>
        <w:pStyle w:val="NormalWeb"/>
        <w:numPr>
          <w:ilvl w:val="1"/>
          <w:numId w:val="106"/>
        </w:numPr>
        <w:rPr>
          <w:sz w:val="22"/>
          <w:szCs w:val="22"/>
        </w:rPr>
      </w:pPr>
      <w:r w:rsidRPr="00956486">
        <w:rPr>
          <w:sz w:val="22"/>
          <w:szCs w:val="22"/>
        </w:rPr>
        <w:t>Continued operational efficiency and momentum expected through FY2026.</w:t>
      </w:r>
    </w:p>
    <w:p w14:paraId="4A15811A" w14:textId="77777777" w:rsidR="005D1106" w:rsidRPr="00956486" w:rsidRDefault="005D1106" w:rsidP="00127934">
      <w:pPr>
        <w:pStyle w:val="NormalWeb"/>
        <w:numPr>
          <w:ilvl w:val="1"/>
          <w:numId w:val="106"/>
        </w:numPr>
        <w:rPr>
          <w:sz w:val="22"/>
          <w:szCs w:val="22"/>
        </w:rPr>
      </w:pPr>
      <w:r w:rsidRPr="00956486">
        <w:rPr>
          <w:sz w:val="22"/>
          <w:szCs w:val="22"/>
        </w:rPr>
        <w:t>Albertville and Blountsville, Alabama facilities likely contributed to network-wide improvements.</w:t>
      </w:r>
    </w:p>
    <w:p w14:paraId="360694B8" w14:textId="77777777" w:rsidR="005D1106" w:rsidRPr="00956486" w:rsidRDefault="005D1106" w:rsidP="00127934">
      <w:pPr>
        <w:pStyle w:val="NormalWeb"/>
        <w:numPr>
          <w:ilvl w:val="0"/>
          <w:numId w:val="106"/>
        </w:numPr>
        <w:rPr>
          <w:sz w:val="22"/>
          <w:szCs w:val="22"/>
        </w:rPr>
      </w:pPr>
      <w:r w:rsidRPr="00956486">
        <w:rPr>
          <w:rStyle w:val="Strong"/>
          <w:rFonts w:eastAsiaTheme="majorEastAsia"/>
          <w:sz w:val="22"/>
          <w:szCs w:val="22"/>
        </w:rPr>
        <w:t>Prepared Foods</w:t>
      </w:r>
      <w:r w:rsidRPr="00956486">
        <w:rPr>
          <w:sz w:val="22"/>
          <w:szCs w:val="22"/>
        </w:rPr>
        <w:t>:</w:t>
      </w:r>
    </w:p>
    <w:p w14:paraId="35841B41" w14:textId="77777777" w:rsidR="005D1106" w:rsidRPr="00956486" w:rsidRDefault="005D1106" w:rsidP="00127934">
      <w:pPr>
        <w:pStyle w:val="NormalWeb"/>
        <w:numPr>
          <w:ilvl w:val="1"/>
          <w:numId w:val="106"/>
        </w:numPr>
        <w:rPr>
          <w:sz w:val="22"/>
          <w:szCs w:val="22"/>
        </w:rPr>
      </w:pPr>
      <w:r w:rsidRPr="00956486">
        <w:rPr>
          <w:sz w:val="22"/>
          <w:szCs w:val="22"/>
        </w:rPr>
        <w:t>Sales +3.4% YoY; AOI +21%</w:t>
      </w:r>
    </w:p>
    <w:p w14:paraId="2816603C" w14:textId="77777777" w:rsidR="005D1106" w:rsidRPr="00956486" w:rsidRDefault="005D1106" w:rsidP="00127934">
      <w:pPr>
        <w:pStyle w:val="NormalWeb"/>
        <w:numPr>
          <w:ilvl w:val="1"/>
          <w:numId w:val="106"/>
        </w:numPr>
        <w:rPr>
          <w:sz w:val="22"/>
          <w:szCs w:val="22"/>
        </w:rPr>
      </w:pPr>
      <w:proofErr w:type="gramStart"/>
      <w:r w:rsidRPr="00956486">
        <w:rPr>
          <w:sz w:val="22"/>
          <w:szCs w:val="22"/>
        </w:rPr>
        <w:t>New innovation</w:t>
      </w:r>
      <w:proofErr w:type="gramEnd"/>
      <w:r w:rsidRPr="00956486">
        <w:rPr>
          <w:sz w:val="22"/>
          <w:szCs w:val="22"/>
        </w:rPr>
        <w:t xml:space="preserve"> platforms include </w:t>
      </w:r>
      <w:r w:rsidRPr="00956486">
        <w:rPr>
          <w:rStyle w:val="Strong"/>
          <w:rFonts w:eastAsiaTheme="majorEastAsia"/>
          <w:sz w:val="22"/>
          <w:szCs w:val="22"/>
        </w:rPr>
        <w:t>Hillshire Farm handhelds</w:t>
      </w:r>
      <w:r w:rsidRPr="00956486">
        <w:rPr>
          <w:sz w:val="22"/>
          <w:szCs w:val="22"/>
        </w:rPr>
        <w:t xml:space="preserve"> and </w:t>
      </w:r>
      <w:proofErr w:type="gramStart"/>
      <w:r w:rsidRPr="00956486">
        <w:rPr>
          <w:sz w:val="22"/>
          <w:szCs w:val="22"/>
        </w:rPr>
        <w:t>expanded</w:t>
      </w:r>
      <w:proofErr w:type="gramEnd"/>
      <w:r w:rsidRPr="00956486">
        <w:rPr>
          <w:sz w:val="22"/>
          <w:szCs w:val="22"/>
        </w:rPr>
        <w:t xml:space="preserve"> snack/dip lines.</w:t>
      </w:r>
    </w:p>
    <w:p w14:paraId="7D76AC8B" w14:textId="77777777" w:rsidR="005D1106" w:rsidRPr="00956486" w:rsidRDefault="005D1106" w:rsidP="00127934">
      <w:pPr>
        <w:pStyle w:val="NormalWeb"/>
        <w:numPr>
          <w:ilvl w:val="1"/>
          <w:numId w:val="106"/>
        </w:numPr>
        <w:rPr>
          <w:sz w:val="22"/>
          <w:szCs w:val="22"/>
        </w:rPr>
      </w:pPr>
      <w:r w:rsidRPr="00956486">
        <w:rPr>
          <w:sz w:val="22"/>
          <w:szCs w:val="22"/>
        </w:rPr>
        <w:t xml:space="preserve">FY AOI guidance: </w:t>
      </w:r>
      <w:r w:rsidRPr="00956486">
        <w:rPr>
          <w:rStyle w:val="Strong"/>
          <w:rFonts w:eastAsiaTheme="majorEastAsia"/>
          <w:sz w:val="22"/>
          <w:szCs w:val="22"/>
        </w:rPr>
        <w:t>$925 million–$1.0 billion</w:t>
      </w:r>
      <w:r w:rsidRPr="00956486">
        <w:rPr>
          <w:sz w:val="22"/>
          <w:szCs w:val="22"/>
        </w:rPr>
        <w:t>, with Q4 expected to show strong performance despite raw material inflation.</w:t>
      </w:r>
    </w:p>
    <w:p w14:paraId="4CC64D07" w14:textId="77777777" w:rsidR="005D1106" w:rsidRPr="00956486" w:rsidRDefault="005D1106" w:rsidP="00127934">
      <w:pPr>
        <w:pStyle w:val="NormalWeb"/>
        <w:numPr>
          <w:ilvl w:val="1"/>
          <w:numId w:val="106"/>
        </w:numPr>
        <w:rPr>
          <w:sz w:val="22"/>
          <w:szCs w:val="22"/>
        </w:rPr>
      </w:pPr>
      <w:r w:rsidRPr="00956486">
        <w:rPr>
          <w:sz w:val="22"/>
          <w:szCs w:val="22"/>
        </w:rPr>
        <w:lastRenderedPageBreak/>
        <w:t>Team achieved best-ever Q3, building long-term margin structure.</w:t>
      </w:r>
    </w:p>
    <w:p w14:paraId="6E85DB2F" w14:textId="77777777" w:rsidR="005D1106" w:rsidRPr="00956486" w:rsidRDefault="005D1106" w:rsidP="00127934">
      <w:pPr>
        <w:pStyle w:val="NormalWeb"/>
        <w:numPr>
          <w:ilvl w:val="0"/>
          <w:numId w:val="106"/>
        </w:numPr>
        <w:rPr>
          <w:sz w:val="22"/>
          <w:szCs w:val="22"/>
        </w:rPr>
      </w:pPr>
      <w:r w:rsidRPr="00956486">
        <w:rPr>
          <w:rStyle w:val="Strong"/>
          <w:rFonts w:eastAsiaTheme="majorEastAsia"/>
          <w:sz w:val="22"/>
          <w:szCs w:val="22"/>
        </w:rPr>
        <w:t>Beef</w:t>
      </w:r>
      <w:r w:rsidRPr="00956486">
        <w:rPr>
          <w:sz w:val="22"/>
          <w:szCs w:val="22"/>
        </w:rPr>
        <w:t>:</w:t>
      </w:r>
    </w:p>
    <w:p w14:paraId="20368B85" w14:textId="77777777" w:rsidR="005D1106" w:rsidRPr="00956486" w:rsidRDefault="005D1106" w:rsidP="00127934">
      <w:pPr>
        <w:pStyle w:val="NormalWeb"/>
        <w:numPr>
          <w:ilvl w:val="1"/>
          <w:numId w:val="106"/>
        </w:numPr>
        <w:rPr>
          <w:sz w:val="22"/>
          <w:szCs w:val="22"/>
        </w:rPr>
      </w:pPr>
      <w:r w:rsidRPr="00956486">
        <w:rPr>
          <w:sz w:val="22"/>
          <w:szCs w:val="22"/>
        </w:rPr>
        <w:t>AOI down significantly; tight cattle supply and higher input costs compressed spreads.</w:t>
      </w:r>
    </w:p>
    <w:p w14:paraId="67932117" w14:textId="77777777" w:rsidR="005D1106" w:rsidRPr="00956486" w:rsidRDefault="005D1106" w:rsidP="00127934">
      <w:pPr>
        <w:pStyle w:val="NormalWeb"/>
        <w:numPr>
          <w:ilvl w:val="1"/>
          <w:numId w:val="106"/>
        </w:numPr>
        <w:rPr>
          <w:sz w:val="22"/>
          <w:szCs w:val="22"/>
        </w:rPr>
      </w:pPr>
      <w:r w:rsidRPr="00956486">
        <w:rPr>
          <w:sz w:val="22"/>
          <w:szCs w:val="22"/>
        </w:rPr>
        <w:t xml:space="preserve">Q3 impairment charge taken; adjusted FY AOI expected to be a </w:t>
      </w:r>
      <w:r w:rsidRPr="00956486">
        <w:rPr>
          <w:rStyle w:val="Strong"/>
          <w:rFonts w:eastAsiaTheme="majorEastAsia"/>
          <w:sz w:val="22"/>
          <w:szCs w:val="22"/>
        </w:rPr>
        <w:t>loss of $475M–$375M</w:t>
      </w:r>
      <w:r w:rsidRPr="00956486">
        <w:rPr>
          <w:sz w:val="22"/>
          <w:szCs w:val="22"/>
        </w:rPr>
        <w:t>.</w:t>
      </w:r>
    </w:p>
    <w:p w14:paraId="12695CE7" w14:textId="77777777" w:rsidR="005D1106" w:rsidRPr="00956486" w:rsidRDefault="005D1106" w:rsidP="00127934">
      <w:pPr>
        <w:pStyle w:val="NormalWeb"/>
        <w:numPr>
          <w:ilvl w:val="1"/>
          <w:numId w:val="106"/>
        </w:numPr>
        <w:rPr>
          <w:sz w:val="22"/>
          <w:szCs w:val="22"/>
        </w:rPr>
      </w:pPr>
      <w:r w:rsidRPr="00956486">
        <w:rPr>
          <w:sz w:val="22"/>
          <w:szCs w:val="22"/>
        </w:rPr>
        <w:t>Heifer retention began in 2025; herd rebuild expected to benefit margins by 2028.</w:t>
      </w:r>
    </w:p>
    <w:p w14:paraId="6F1DD2D2" w14:textId="77777777" w:rsidR="005D1106" w:rsidRPr="00956486" w:rsidRDefault="005D1106" w:rsidP="00127934">
      <w:pPr>
        <w:pStyle w:val="NormalWeb"/>
        <w:numPr>
          <w:ilvl w:val="0"/>
          <w:numId w:val="106"/>
        </w:numPr>
        <w:rPr>
          <w:sz w:val="22"/>
          <w:szCs w:val="22"/>
        </w:rPr>
      </w:pPr>
      <w:r w:rsidRPr="00956486">
        <w:rPr>
          <w:rStyle w:val="Strong"/>
          <w:rFonts w:eastAsiaTheme="majorEastAsia"/>
          <w:sz w:val="22"/>
          <w:szCs w:val="22"/>
        </w:rPr>
        <w:t>Pork</w:t>
      </w:r>
      <w:r w:rsidRPr="00956486">
        <w:rPr>
          <w:sz w:val="22"/>
          <w:szCs w:val="22"/>
        </w:rPr>
        <w:t>:</w:t>
      </w:r>
    </w:p>
    <w:p w14:paraId="662DB860" w14:textId="77777777" w:rsidR="005D1106" w:rsidRPr="00956486" w:rsidRDefault="005D1106" w:rsidP="00127934">
      <w:pPr>
        <w:pStyle w:val="NormalWeb"/>
        <w:numPr>
          <w:ilvl w:val="1"/>
          <w:numId w:val="106"/>
        </w:numPr>
        <w:rPr>
          <w:sz w:val="22"/>
          <w:szCs w:val="22"/>
        </w:rPr>
      </w:pPr>
      <w:r w:rsidRPr="00956486">
        <w:rPr>
          <w:sz w:val="22"/>
          <w:szCs w:val="22"/>
        </w:rPr>
        <w:t>Strongest Q3 AOI in 4 years; network optimization and labor productivity gains.</w:t>
      </w:r>
    </w:p>
    <w:p w14:paraId="03071EE9" w14:textId="77777777" w:rsidR="005D1106" w:rsidRPr="00956486" w:rsidRDefault="005D1106" w:rsidP="00127934">
      <w:pPr>
        <w:pStyle w:val="NormalWeb"/>
        <w:numPr>
          <w:ilvl w:val="1"/>
          <w:numId w:val="106"/>
        </w:numPr>
        <w:rPr>
          <w:sz w:val="22"/>
          <w:szCs w:val="22"/>
        </w:rPr>
      </w:pPr>
      <w:r w:rsidRPr="00956486">
        <w:rPr>
          <w:sz w:val="22"/>
          <w:szCs w:val="22"/>
        </w:rPr>
        <w:t xml:space="preserve">FY2025 AOI guidance narrowed to </w:t>
      </w:r>
      <w:r w:rsidRPr="00956486">
        <w:rPr>
          <w:rStyle w:val="Strong"/>
          <w:rFonts w:eastAsiaTheme="majorEastAsia"/>
          <w:sz w:val="22"/>
          <w:szCs w:val="22"/>
        </w:rPr>
        <w:t>$175M–$200M</w:t>
      </w:r>
      <w:r w:rsidRPr="00956486">
        <w:rPr>
          <w:sz w:val="22"/>
          <w:szCs w:val="22"/>
        </w:rPr>
        <w:t>.</w:t>
      </w:r>
    </w:p>
    <w:p w14:paraId="43397090" w14:textId="77777777" w:rsidR="005D1106" w:rsidRPr="00956486" w:rsidRDefault="005D1106" w:rsidP="00127934">
      <w:pPr>
        <w:pStyle w:val="NormalWeb"/>
        <w:numPr>
          <w:ilvl w:val="0"/>
          <w:numId w:val="106"/>
        </w:numPr>
        <w:rPr>
          <w:sz w:val="22"/>
          <w:szCs w:val="22"/>
        </w:rPr>
      </w:pPr>
      <w:r w:rsidRPr="00956486">
        <w:rPr>
          <w:rStyle w:val="Strong"/>
          <w:rFonts w:eastAsiaTheme="majorEastAsia"/>
          <w:sz w:val="22"/>
          <w:szCs w:val="22"/>
        </w:rPr>
        <w:t>International &amp; Other</w:t>
      </w:r>
      <w:r w:rsidRPr="00956486">
        <w:rPr>
          <w:sz w:val="22"/>
          <w:szCs w:val="22"/>
        </w:rPr>
        <w:t>:</w:t>
      </w:r>
    </w:p>
    <w:p w14:paraId="0DA02CB1" w14:textId="77777777" w:rsidR="005D1106" w:rsidRPr="00956486" w:rsidRDefault="005D1106" w:rsidP="00127934">
      <w:pPr>
        <w:pStyle w:val="NormalWeb"/>
        <w:numPr>
          <w:ilvl w:val="1"/>
          <w:numId w:val="106"/>
        </w:numPr>
        <w:rPr>
          <w:sz w:val="22"/>
          <w:szCs w:val="22"/>
        </w:rPr>
      </w:pPr>
      <w:r w:rsidRPr="00956486">
        <w:rPr>
          <w:sz w:val="22"/>
          <w:szCs w:val="22"/>
        </w:rPr>
        <w:t>FY AOI expected to reach ~$125M; efficiencies and cost discipline remain core focus.</w:t>
      </w:r>
    </w:p>
    <w:p w14:paraId="21F0D414" w14:textId="77777777" w:rsidR="005D1106" w:rsidRDefault="005D1106" w:rsidP="3CA273EB">
      <w:pPr>
        <w:rPr>
          <w:rFonts w:ascii="Times New Roman" w:eastAsia="Times New Roman" w:hAnsi="Times New Roman" w:cs="Times New Roman"/>
        </w:rPr>
      </w:pPr>
    </w:p>
    <w:p w14:paraId="5E023DE1" w14:textId="799D868E" w:rsidR="0227D82F" w:rsidRDefault="0227D82F" w:rsidP="0227D82F">
      <w:pPr>
        <w:rPr>
          <w:rFonts w:ascii="Times New Roman" w:eastAsia="Times New Roman" w:hAnsi="Times New Roman" w:cs="Times New Roman"/>
        </w:rPr>
      </w:pPr>
    </w:p>
    <w:p w14:paraId="0F8C70C1" w14:textId="1CA0A035" w:rsidR="3CA273EB" w:rsidRDefault="3CA273EB" w:rsidP="3CA273EB">
      <w:pPr>
        <w:rPr>
          <w:rFonts w:ascii="Times New Roman" w:eastAsia="Times New Roman" w:hAnsi="Times New Roman" w:cs="Times New Roman"/>
        </w:rPr>
      </w:pPr>
    </w:p>
    <w:p w14:paraId="54EB7FA2" w14:textId="77777777" w:rsidR="008B733A" w:rsidRPr="00BC0D8E" w:rsidRDefault="34354836" w:rsidP="005757E2">
      <w:pPr>
        <w:pStyle w:val="Heading2"/>
        <w:rPr>
          <w:rFonts w:cs="Times New Roman"/>
        </w:rPr>
      </w:pPr>
      <w:bookmarkStart w:id="143" w:name="_Toc147824709"/>
      <w:bookmarkStart w:id="144" w:name="_Toc212796794"/>
      <w:r w:rsidRPr="2535092B">
        <w:rPr>
          <w:rFonts w:cs="Times New Roman"/>
        </w:rPr>
        <w:t>West Fraser Timber Co. Ltd. (</w:t>
      </w:r>
      <w:proofErr w:type="gramStart"/>
      <w:r w:rsidRPr="2535092B">
        <w:rPr>
          <w:rFonts w:cs="Times New Roman"/>
        </w:rPr>
        <w:t>TSX:WFG</w:t>
      </w:r>
      <w:proofErr w:type="gramEnd"/>
      <w:r w:rsidRPr="2535092B">
        <w:rPr>
          <w:rFonts w:cs="Times New Roman"/>
        </w:rPr>
        <w:t>)</w:t>
      </w:r>
      <w:bookmarkEnd w:id="143"/>
      <w:bookmarkEnd w:id="144"/>
    </w:p>
    <w:p w14:paraId="698C52AD" w14:textId="3DC89824" w:rsidR="008B733A" w:rsidRPr="00BC0D8E" w:rsidRDefault="02FFA956" w:rsidP="005757E2">
      <w:pPr>
        <w:pStyle w:val="Heading3"/>
        <w:rPr>
          <w:rFonts w:cs="Times New Roman"/>
        </w:rPr>
      </w:pPr>
      <w:bookmarkStart w:id="145" w:name="_Toc147824710"/>
      <w:bookmarkStart w:id="146" w:name="_Toc212796795"/>
      <w:r w:rsidRPr="2EEB26EF">
        <w:rPr>
          <w:rFonts w:cs="Times New Roman"/>
        </w:rPr>
        <w:t>Outlook:</w:t>
      </w:r>
      <w:r w:rsidR="2F0C37C0" w:rsidRPr="2EEB26EF">
        <w:rPr>
          <w:rFonts w:cs="Times New Roman"/>
        </w:rPr>
        <w:t xml:space="preserve"> </w:t>
      </w:r>
      <w:r w:rsidR="4151E954" w:rsidRPr="2EEB26EF">
        <w:rPr>
          <w:rFonts w:cs="Times New Roman"/>
        </w:rPr>
        <w:t>Neutral</w:t>
      </w:r>
      <w:bookmarkEnd w:id="145"/>
      <w:bookmarkEnd w:id="146"/>
    </w:p>
    <w:p w14:paraId="474C951B" w14:textId="357BE19E" w:rsidR="008B733A" w:rsidRPr="00BC0D8E" w:rsidRDefault="02FFA956" w:rsidP="005757E2">
      <w:pPr>
        <w:pStyle w:val="Heading3"/>
        <w:rPr>
          <w:rFonts w:cs="Times New Roman"/>
        </w:rPr>
      </w:pPr>
      <w:bookmarkStart w:id="147" w:name="_Toc147824711"/>
      <w:bookmarkStart w:id="148" w:name="_Toc212796796"/>
      <w:r w:rsidRPr="2EEB26EF">
        <w:rPr>
          <w:rFonts w:cs="Times New Roman"/>
        </w:rPr>
        <w:t>AL Outlook:</w:t>
      </w:r>
      <w:r w:rsidR="4BAA8F3C" w:rsidRPr="2EEB26EF">
        <w:rPr>
          <w:rFonts w:cs="Times New Roman"/>
        </w:rPr>
        <w:t xml:space="preserve"> </w:t>
      </w:r>
      <w:bookmarkEnd w:id="147"/>
      <w:r w:rsidR="00D02B5E" w:rsidRPr="00AF2939">
        <w:rPr>
          <w:rFonts w:cs="Times New Roman"/>
          <w:color w:val="00B050"/>
        </w:rPr>
        <w:t>Positive</w:t>
      </w:r>
      <w:bookmarkEnd w:id="148"/>
    </w:p>
    <w:p w14:paraId="600119FA" w14:textId="341D46BA" w:rsidR="008B733A" w:rsidRPr="00AF2939" w:rsidRDefault="02FFA956" w:rsidP="2535092B">
      <w:pPr>
        <w:rPr>
          <w:rFonts w:ascii="Times New Roman" w:eastAsia="Calibri" w:hAnsi="Times New Roman" w:cs="Times New Roman"/>
        </w:rPr>
      </w:pPr>
      <w:r w:rsidRPr="0227D82F">
        <w:rPr>
          <w:rFonts w:ascii="Times New Roman" w:hAnsi="Times New Roman" w:cs="Times New Roman"/>
          <w:b/>
          <w:bCs/>
        </w:rPr>
        <w:t>Recommended Action:</w:t>
      </w:r>
      <w:r w:rsidR="4A79D58E" w:rsidRPr="0227D82F">
        <w:rPr>
          <w:rFonts w:ascii="Times New Roman" w:eastAsia="Calibri" w:hAnsi="Times New Roman" w:cs="Times New Roman"/>
          <w:b/>
          <w:bCs/>
        </w:rPr>
        <w:t xml:space="preserve"> E</w:t>
      </w:r>
      <w:r w:rsidR="4A79D58E" w:rsidRPr="0227D82F">
        <w:rPr>
          <w:rFonts w:ascii="Times New Roman" w:eastAsia="Calibri" w:hAnsi="Times New Roman" w:cs="Times New Roman"/>
        </w:rPr>
        <w:t>ngage local leadership to monitor potential additional capital improvements/expansions to Alabama sites, especially as major Canadian investments are paused.</w:t>
      </w:r>
    </w:p>
    <w:p w14:paraId="52EDE9AE" w14:textId="03353FBE" w:rsidR="3CA273EB" w:rsidRPr="007B17D3" w:rsidRDefault="26078624" w:rsidP="3CA273EB">
      <w:pPr>
        <w:spacing w:beforeAutospacing="1" w:afterAutospacing="1" w:line="240" w:lineRule="auto"/>
        <w:rPr>
          <w:rFonts w:ascii="Times New Roman" w:eastAsia="Times New Roman" w:hAnsi="Times New Roman" w:cs="Times New Roman"/>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Sawmills in Maplesville, Opelika, and Lanett</w:t>
      </w:r>
    </w:p>
    <w:p w14:paraId="09F2AA92" w14:textId="77777777" w:rsidR="00B6601A" w:rsidRPr="00956486" w:rsidRDefault="00B6601A" w:rsidP="00B6601A">
      <w:pPr>
        <w:pStyle w:val="NormalWeb"/>
        <w:rPr>
          <w:sz w:val="22"/>
          <w:szCs w:val="22"/>
        </w:rPr>
      </w:pPr>
      <w:r w:rsidRPr="00956486">
        <w:rPr>
          <w:rStyle w:val="Strong"/>
          <w:rFonts w:eastAsiaTheme="majorEastAsia"/>
          <w:sz w:val="22"/>
          <w:szCs w:val="22"/>
        </w:rPr>
        <w:t>Key Takeaways</w:t>
      </w:r>
    </w:p>
    <w:p w14:paraId="3D866042" w14:textId="77777777" w:rsidR="00B6601A" w:rsidRPr="00956486" w:rsidRDefault="00B6601A" w:rsidP="00127934">
      <w:pPr>
        <w:pStyle w:val="NormalWeb"/>
        <w:numPr>
          <w:ilvl w:val="0"/>
          <w:numId w:val="107"/>
        </w:numPr>
        <w:rPr>
          <w:sz w:val="22"/>
          <w:szCs w:val="22"/>
        </w:rPr>
      </w:pPr>
      <w:r w:rsidRPr="00956486">
        <w:rPr>
          <w:sz w:val="22"/>
          <w:szCs w:val="22"/>
        </w:rPr>
        <w:t xml:space="preserve">West Fraser reported a return to </w:t>
      </w:r>
      <w:r w:rsidRPr="00956486">
        <w:rPr>
          <w:rStyle w:val="Strong"/>
          <w:rFonts w:eastAsiaTheme="majorEastAsia"/>
          <w:sz w:val="22"/>
          <w:szCs w:val="22"/>
        </w:rPr>
        <w:t>positive EBITDA and net income</w:t>
      </w:r>
      <w:r w:rsidRPr="00956486">
        <w:rPr>
          <w:sz w:val="22"/>
          <w:szCs w:val="22"/>
        </w:rPr>
        <w:t xml:space="preserve"> in Q2 2025, driven by improved U.S. South lumber pricing, stable panel demand, and strong pulp shipments.</w:t>
      </w:r>
    </w:p>
    <w:p w14:paraId="672786CF" w14:textId="77777777" w:rsidR="00B6601A" w:rsidRPr="00956486" w:rsidRDefault="00B6601A" w:rsidP="00127934">
      <w:pPr>
        <w:pStyle w:val="NormalWeb"/>
        <w:numPr>
          <w:ilvl w:val="0"/>
          <w:numId w:val="107"/>
        </w:numPr>
        <w:rPr>
          <w:sz w:val="22"/>
          <w:szCs w:val="22"/>
        </w:rPr>
      </w:pPr>
      <w:r w:rsidRPr="00956486">
        <w:rPr>
          <w:sz w:val="22"/>
          <w:szCs w:val="22"/>
        </w:rPr>
        <w:t>Lumber markets showed signs of stabilization after a prolonged trough, with better-than-expected seasonal demand in the Southern U.S.</w:t>
      </w:r>
    </w:p>
    <w:p w14:paraId="726BB44C" w14:textId="77777777" w:rsidR="00B6601A" w:rsidRPr="00956486" w:rsidRDefault="00B6601A" w:rsidP="00127934">
      <w:pPr>
        <w:pStyle w:val="NormalWeb"/>
        <w:numPr>
          <w:ilvl w:val="0"/>
          <w:numId w:val="107"/>
        </w:numPr>
        <w:rPr>
          <w:sz w:val="22"/>
          <w:szCs w:val="22"/>
        </w:rPr>
      </w:pPr>
      <w:r w:rsidRPr="00956486">
        <w:rPr>
          <w:sz w:val="22"/>
          <w:szCs w:val="22"/>
        </w:rPr>
        <w:t xml:space="preserve">Strategic emphasis remains on </w:t>
      </w:r>
      <w:r w:rsidRPr="00956486">
        <w:rPr>
          <w:rStyle w:val="Strong"/>
          <w:rFonts w:eastAsiaTheme="majorEastAsia"/>
          <w:sz w:val="22"/>
          <w:szCs w:val="22"/>
        </w:rPr>
        <w:t>maximizing returns in the U.S. South</w:t>
      </w:r>
      <w:r w:rsidRPr="00956486">
        <w:rPr>
          <w:sz w:val="22"/>
          <w:szCs w:val="22"/>
        </w:rPr>
        <w:t xml:space="preserve">, where </w:t>
      </w:r>
      <w:r w:rsidRPr="00956486">
        <w:rPr>
          <w:rStyle w:val="Strong"/>
          <w:rFonts w:eastAsiaTheme="majorEastAsia"/>
          <w:sz w:val="22"/>
          <w:szCs w:val="22"/>
        </w:rPr>
        <w:t>Alabama sawmills</w:t>
      </w:r>
      <w:r w:rsidRPr="00956486">
        <w:rPr>
          <w:sz w:val="22"/>
          <w:szCs w:val="22"/>
        </w:rPr>
        <w:t xml:space="preserve"> continue to outperform Western Canadian peers in terms of cost, uptime, and margin.</w:t>
      </w:r>
    </w:p>
    <w:p w14:paraId="28F0C68A" w14:textId="77777777" w:rsidR="00B6601A" w:rsidRPr="00956486" w:rsidRDefault="00B6601A" w:rsidP="00127934">
      <w:pPr>
        <w:pStyle w:val="NormalWeb"/>
        <w:numPr>
          <w:ilvl w:val="0"/>
          <w:numId w:val="107"/>
        </w:numPr>
        <w:rPr>
          <w:sz w:val="22"/>
          <w:szCs w:val="22"/>
        </w:rPr>
      </w:pPr>
      <w:r w:rsidRPr="00956486">
        <w:rPr>
          <w:sz w:val="22"/>
          <w:szCs w:val="22"/>
        </w:rPr>
        <w:t xml:space="preserve">Despite global housing headwinds, demand in the U.S. Southeast remains resilient, supported by </w:t>
      </w:r>
      <w:r w:rsidRPr="00956486">
        <w:rPr>
          <w:rStyle w:val="Strong"/>
          <w:rFonts w:eastAsiaTheme="majorEastAsia"/>
          <w:sz w:val="22"/>
          <w:szCs w:val="22"/>
        </w:rPr>
        <w:t>repair &amp; remodel (R&amp;R)</w:t>
      </w:r>
      <w:r w:rsidRPr="00956486">
        <w:rPr>
          <w:sz w:val="22"/>
          <w:szCs w:val="22"/>
        </w:rPr>
        <w:t xml:space="preserve"> and </w:t>
      </w:r>
      <w:r w:rsidRPr="00956486">
        <w:rPr>
          <w:rStyle w:val="Strong"/>
          <w:rFonts w:eastAsiaTheme="majorEastAsia"/>
          <w:sz w:val="22"/>
          <w:szCs w:val="22"/>
        </w:rPr>
        <w:t>low single-family housing starts inventory</w:t>
      </w:r>
      <w:r w:rsidRPr="00956486">
        <w:rPr>
          <w:sz w:val="22"/>
          <w:szCs w:val="22"/>
        </w:rPr>
        <w:t>.</w:t>
      </w:r>
    </w:p>
    <w:p w14:paraId="37FD6A95" w14:textId="77777777" w:rsidR="00B6601A" w:rsidRPr="00956486" w:rsidRDefault="00B6601A" w:rsidP="00127934">
      <w:pPr>
        <w:pStyle w:val="NormalWeb"/>
        <w:numPr>
          <w:ilvl w:val="0"/>
          <w:numId w:val="107"/>
        </w:numPr>
        <w:rPr>
          <w:sz w:val="22"/>
          <w:szCs w:val="22"/>
        </w:rPr>
      </w:pPr>
      <w:r w:rsidRPr="00956486">
        <w:rPr>
          <w:sz w:val="22"/>
          <w:szCs w:val="22"/>
        </w:rPr>
        <w:t xml:space="preserve">Company continues to prioritize capital investments in </w:t>
      </w:r>
      <w:r w:rsidRPr="00956486">
        <w:rPr>
          <w:rStyle w:val="Strong"/>
          <w:rFonts w:eastAsiaTheme="majorEastAsia"/>
          <w:sz w:val="22"/>
          <w:szCs w:val="22"/>
        </w:rPr>
        <w:t>high-return, low-cost Southern operations</w:t>
      </w:r>
      <w:r w:rsidRPr="00956486">
        <w:rPr>
          <w:sz w:val="22"/>
          <w:szCs w:val="22"/>
        </w:rPr>
        <w:t>, while limiting exposure in more volatile regions like British Columbia.</w:t>
      </w:r>
    </w:p>
    <w:p w14:paraId="0FEEB6CA" w14:textId="77777777" w:rsidR="00B6601A" w:rsidRPr="00956486" w:rsidRDefault="00B6601A" w:rsidP="00B6601A">
      <w:pPr>
        <w:pStyle w:val="NormalWeb"/>
        <w:rPr>
          <w:sz w:val="22"/>
          <w:szCs w:val="22"/>
        </w:rPr>
      </w:pPr>
      <w:r w:rsidRPr="00956486">
        <w:rPr>
          <w:rStyle w:val="Strong"/>
          <w:rFonts w:eastAsiaTheme="majorEastAsia"/>
          <w:sz w:val="22"/>
          <w:szCs w:val="22"/>
        </w:rPr>
        <w:t>Financial Highlights</w:t>
      </w:r>
    </w:p>
    <w:p w14:paraId="53E722FF" w14:textId="77777777" w:rsidR="00B6601A" w:rsidRPr="00956486" w:rsidRDefault="00B6601A" w:rsidP="00127934">
      <w:pPr>
        <w:pStyle w:val="NormalWeb"/>
        <w:numPr>
          <w:ilvl w:val="0"/>
          <w:numId w:val="108"/>
        </w:numPr>
        <w:rPr>
          <w:sz w:val="22"/>
          <w:szCs w:val="22"/>
        </w:rPr>
      </w:pPr>
      <w:r w:rsidRPr="00956486">
        <w:rPr>
          <w:rStyle w:val="Strong"/>
          <w:rFonts w:eastAsiaTheme="majorEastAsia"/>
          <w:sz w:val="22"/>
          <w:szCs w:val="22"/>
        </w:rPr>
        <w:t>Revenue</w:t>
      </w:r>
      <w:r w:rsidRPr="00956486">
        <w:rPr>
          <w:sz w:val="22"/>
          <w:szCs w:val="22"/>
        </w:rPr>
        <w:t>: $2.11 billion (up 7% YoY, +10% QoQ)</w:t>
      </w:r>
    </w:p>
    <w:p w14:paraId="653672A4" w14:textId="77777777" w:rsidR="00B6601A" w:rsidRPr="00956486" w:rsidRDefault="00B6601A" w:rsidP="00127934">
      <w:pPr>
        <w:pStyle w:val="NormalWeb"/>
        <w:numPr>
          <w:ilvl w:val="0"/>
          <w:numId w:val="108"/>
        </w:numPr>
        <w:rPr>
          <w:sz w:val="22"/>
          <w:szCs w:val="22"/>
        </w:rPr>
      </w:pPr>
      <w:r w:rsidRPr="00956486">
        <w:rPr>
          <w:rStyle w:val="Strong"/>
          <w:rFonts w:eastAsiaTheme="majorEastAsia"/>
          <w:sz w:val="22"/>
          <w:szCs w:val="22"/>
        </w:rPr>
        <w:t>Adjusted EBITDA</w:t>
      </w:r>
      <w:r w:rsidRPr="00956486">
        <w:rPr>
          <w:sz w:val="22"/>
          <w:szCs w:val="22"/>
        </w:rPr>
        <w:t>: $272 million, vs. $182 million in Q1 (+49% sequentially)</w:t>
      </w:r>
    </w:p>
    <w:p w14:paraId="74D8EDE5" w14:textId="77777777" w:rsidR="00B6601A" w:rsidRPr="00956486" w:rsidRDefault="00B6601A" w:rsidP="00127934">
      <w:pPr>
        <w:pStyle w:val="NormalWeb"/>
        <w:numPr>
          <w:ilvl w:val="0"/>
          <w:numId w:val="108"/>
        </w:numPr>
        <w:rPr>
          <w:sz w:val="22"/>
          <w:szCs w:val="22"/>
        </w:rPr>
      </w:pPr>
      <w:r w:rsidRPr="00956486">
        <w:rPr>
          <w:rStyle w:val="Strong"/>
          <w:rFonts w:eastAsiaTheme="majorEastAsia"/>
          <w:sz w:val="22"/>
          <w:szCs w:val="22"/>
        </w:rPr>
        <w:t>Net income</w:t>
      </w:r>
      <w:r w:rsidRPr="00956486">
        <w:rPr>
          <w:sz w:val="22"/>
          <w:szCs w:val="22"/>
        </w:rPr>
        <w:t>: $117 million, compared to a net loss of $25 million in Q1</w:t>
      </w:r>
    </w:p>
    <w:p w14:paraId="412B4EBF" w14:textId="77777777" w:rsidR="00B6601A" w:rsidRPr="00956486" w:rsidRDefault="00B6601A" w:rsidP="00127934">
      <w:pPr>
        <w:pStyle w:val="NormalWeb"/>
        <w:numPr>
          <w:ilvl w:val="0"/>
          <w:numId w:val="108"/>
        </w:numPr>
        <w:rPr>
          <w:sz w:val="22"/>
          <w:szCs w:val="22"/>
        </w:rPr>
      </w:pPr>
      <w:r w:rsidRPr="00956486">
        <w:rPr>
          <w:rStyle w:val="Strong"/>
          <w:rFonts w:eastAsiaTheme="majorEastAsia"/>
          <w:sz w:val="22"/>
          <w:szCs w:val="22"/>
        </w:rPr>
        <w:t>Operating cash flow</w:t>
      </w:r>
      <w:r w:rsidRPr="00956486">
        <w:rPr>
          <w:sz w:val="22"/>
          <w:szCs w:val="22"/>
        </w:rPr>
        <w:t>: $224 million</w:t>
      </w:r>
    </w:p>
    <w:p w14:paraId="3578C63C" w14:textId="77777777" w:rsidR="00B6601A" w:rsidRPr="00956486" w:rsidRDefault="00B6601A" w:rsidP="00127934">
      <w:pPr>
        <w:pStyle w:val="NormalWeb"/>
        <w:numPr>
          <w:ilvl w:val="0"/>
          <w:numId w:val="108"/>
        </w:numPr>
        <w:rPr>
          <w:sz w:val="22"/>
          <w:szCs w:val="22"/>
        </w:rPr>
      </w:pPr>
      <w:proofErr w:type="spellStart"/>
      <w:r w:rsidRPr="00956486">
        <w:rPr>
          <w:rStyle w:val="Strong"/>
          <w:rFonts w:eastAsiaTheme="majorEastAsia"/>
          <w:sz w:val="22"/>
          <w:szCs w:val="22"/>
        </w:rPr>
        <w:t>CapEx</w:t>
      </w:r>
      <w:proofErr w:type="spellEnd"/>
      <w:r w:rsidRPr="00956486">
        <w:rPr>
          <w:sz w:val="22"/>
          <w:szCs w:val="22"/>
        </w:rPr>
        <w:t xml:space="preserve">: $110 million in Q2; full-year guidance reaffirmed at </w:t>
      </w:r>
      <w:r w:rsidRPr="00956486">
        <w:rPr>
          <w:rStyle w:val="Strong"/>
          <w:rFonts w:eastAsiaTheme="majorEastAsia"/>
          <w:sz w:val="22"/>
          <w:szCs w:val="22"/>
        </w:rPr>
        <w:t>$400–450 million</w:t>
      </w:r>
    </w:p>
    <w:p w14:paraId="7559C542" w14:textId="77777777" w:rsidR="00B6601A" w:rsidRPr="00956486" w:rsidRDefault="00B6601A" w:rsidP="00127934">
      <w:pPr>
        <w:pStyle w:val="NormalWeb"/>
        <w:numPr>
          <w:ilvl w:val="0"/>
          <w:numId w:val="108"/>
        </w:numPr>
        <w:rPr>
          <w:sz w:val="22"/>
          <w:szCs w:val="22"/>
        </w:rPr>
      </w:pPr>
      <w:r w:rsidRPr="00956486">
        <w:rPr>
          <w:rStyle w:val="Strong"/>
          <w:rFonts w:eastAsiaTheme="majorEastAsia"/>
          <w:sz w:val="22"/>
          <w:szCs w:val="22"/>
        </w:rPr>
        <w:t>Liquidity</w:t>
      </w:r>
      <w:r w:rsidRPr="00956486">
        <w:rPr>
          <w:sz w:val="22"/>
          <w:szCs w:val="22"/>
        </w:rPr>
        <w:t>: Over $1.3 billion in cash and available credit</w:t>
      </w:r>
    </w:p>
    <w:p w14:paraId="0FF17089" w14:textId="77777777" w:rsidR="00B6601A" w:rsidRPr="00956486" w:rsidRDefault="00B6601A" w:rsidP="00127934">
      <w:pPr>
        <w:pStyle w:val="NormalWeb"/>
        <w:numPr>
          <w:ilvl w:val="0"/>
          <w:numId w:val="108"/>
        </w:numPr>
        <w:rPr>
          <w:sz w:val="22"/>
          <w:szCs w:val="22"/>
        </w:rPr>
      </w:pPr>
      <w:r w:rsidRPr="00956486">
        <w:rPr>
          <w:sz w:val="22"/>
          <w:szCs w:val="22"/>
        </w:rPr>
        <w:t>Share repurchases of $55 million during the quarter</w:t>
      </w:r>
    </w:p>
    <w:p w14:paraId="3C76FF7A" w14:textId="77777777" w:rsidR="00B6601A" w:rsidRPr="00956486" w:rsidRDefault="00B6601A" w:rsidP="00B6601A">
      <w:pPr>
        <w:pStyle w:val="NormalWeb"/>
        <w:rPr>
          <w:sz w:val="22"/>
          <w:szCs w:val="22"/>
        </w:rPr>
      </w:pPr>
      <w:r w:rsidRPr="00956486">
        <w:rPr>
          <w:rStyle w:val="Strong"/>
          <w:rFonts w:eastAsiaTheme="majorEastAsia"/>
          <w:sz w:val="22"/>
          <w:szCs w:val="22"/>
        </w:rPr>
        <w:lastRenderedPageBreak/>
        <w:t>Operational Highlights</w:t>
      </w:r>
    </w:p>
    <w:p w14:paraId="3C33BEA4" w14:textId="77777777" w:rsidR="00B6601A" w:rsidRPr="00956486" w:rsidRDefault="00B6601A" w:rsidP="00127934">
      <w:pPr>
        <w:pStyle w:val="NormalWeb"/>
        <w:numPr>
          <w:ilvl w:val="0"/>
          <w:numId w:val="109"/>
        </w:numPr>
        <w:rPr>
          <w:sz w:val="22"/>
          <w:szCs w:val="22"/>
        </w:rPr>
      </w:pPr>
      <w:r w:rsidRPr="00956486">
        <w:rPr>
          <w:rStyle w:val="Strong"/>
          <w:rFonts w:eastAsiaTheme="majorEastAsia"/>
          <w:sz w:val="22"/>
          <w:szCs w:val="22"/>
        </w:rPr>
        <w:t>Lumber production</w:t>
      </w:r>
      <w:r w:rsidRPr="00956486">
        <w:rPr>
          <w:sz w:val="22"/>
          <w:szCs w:val="22"/>
        </w:rPr>
        <w:t>: 1.62 billion board feet (BBF), with U.S. South contributing 1.03 BBF (~64%)</w:t>
      </w:r>
    </w:p>
    <w:p w14:paraId="282572D2" w14:textId="77777777" w:rsidR="00B6601A" w:rsidRPr="00956486" w:rsidRDefault="00B6601A" w:rsidP="00127934">
      <w:pPr>
        <w:pStyle w:val="NormalWeb"/>
        <w:numPr>
          <w:ilvl w:val="0"/>
          <w:numId w:val="109"/>
        </w:numPr>
        <w:rPr>
          <w:sz w:val="22"/>
          <w:szCs w:val="22"/>
        </w:rPr>
      </w:pPr>
      <w:r w:rsidRPr="00956486">
        <w:rPr>
          <w:sz w:val="22"/>
          <w:szCs w:val="22"/>
        </w:rPr>
        <w:t xml:space="preserve">U.S. South operating rates exceeded </w:t>
      </w:r>
      <w:r w:rsidRPr="00956486">
        <w:rPr>
          <w:rStyle w:val="Strong"/>
          <w:rFonts w:eastAsiaTheme="majorEastAsia"/>
          <w:sz w:val="22"/>
          <w:szCs w:val="22"/>
        </w:rPr>
        <w:t>90%</w:t>
      </w:r>
      <w:r w:rsidRPr="00956486">
        <w:rPr>
          <w:sz w:val="22"/>
          <w:szCs w:val="22"/>
        </w:rPr>
        <w:t xml:space="preserve">, with Alabama sawmills in </w:t>
      </w:r>
      <w:r w:rsidRPr="00956486">
        <w:rPr>
          <w:rStyle w:val="Strong"/>
          <w:rFonts w:eastAsiaTheme="majorEastAsia"/>
          <w:sz w:val="22"/>
          <w:szCs w:val="22"/>
        </w:rPr>
        <w:t>Maplesville, Opelika, and Lanett</w:t>
      </w:r>
      <w:r w:rsidRPr="00956486">
        <w:rPr>
          <w:sz w:val="22"/>
          <w:szCs w:val="22"/>
        </w:rPr>
        <w:t xml:space="preserve"> cited for consistent output and stable cost performance</w:t>
      </w:r>
    </w:p>
    <w:p w14:paraId="3FB2A294" w14:textId="77777777" w:rsidR="00B6601A" w:rsidRPr="00956486" w:rsidRDefault="00B6601A" w:rsidP="00127934">
      <w:pPr>
        <w:pStyle w:val="NormalWeb"/>
        <w:numPr>
          <w:ilvl w:val="0"/>
          <w:numId w:val="109"/>
        </w:numPr>
        <w:rPr>
          <w:sz w:val="22"/>
          <w:szCs w:val="22"/>
        </w:rPr>
      </w:pPr>
      <w:r w:rsidRPr="00956486">
        <w:rPr>
          <w:sz w:val="22"/>
          <w:szCs w:val="22"/>
        </w:rPr>
        <w:t>Alberta and B.C. production remained below 75% capacity due to fiber constraints, mill downtime, and market conditions</w:t>
      </w:r>
    </w:p>
    <w:p w14:paraId="4313DBC3" w14:textId="77777777" w:rsidR="00B6601A" w:rsidRPr="00956486" w:rsidRDefault="00B6601A" w:rsidP="00127934">
      <w:pPr>
        <w:pStyle w:val="NormalWeb"/>
        <w:numPr>
          <w:ilvl w:val="0"/>
          <w:numId w:val="109"/>
        </w:numPr>
        <w:rPr>
          <w:sz w:val="22"/>
          <w:szCs w:val="22"/>
        </w:rPr>
      </w:pPr>
      <w:r w:rsidRPr="00956486">
        <w:rPr>
          <w:sz w:val="22"/>
          <w:szCs w:val="22"/>
        </w:rPr>
        <w:t xml:space="preserve">U.S. South log costs were flat to slightly lower </w:t>
      </w:r>
      <w:proofErr w:type="gramStart"/>
      <w:r w:rsidRPr="00956486">
        <w:rPr>
          <w:sz w:val="22"/>
          <w:szCs w:val="22"/>
        </w:rPr>
        <w:t>QoQ;</w:t>
      </w:r>
      <w:proofErr w:type="gramEnd"/>
      <w:r w:rsidRPr="00956486">
        <w:rPr>
          <w:sz w:val="22"/>
          <w:szCs w:val="22"/>
        </w:rPr>
        <w:t xml:space="preserve"> favorable vs. inflationary pressures in Canada</w:t>
      </w:r>
    </w:p>
    <w:p w14:paraId="6BE29311" w14:textId="77777777" w:rsidR="00B6601A" w:rsidRPr="00956486" w:rsidRDefault="00B6601A" w:rsidP="00127934">
      <w:pPr>
        <w:pStyle w:val="NormalWeb"/>
        <w:numPr>
          <w:ilvl w:val="0"/>
          <w:numId w:val="109"/>
        </w:numPr>
        <w:rPr>
          <w:sz w:val="22"/>
          <w:szCs w:val="22"/>
        </w:rPr>
      </w:pPr>
      <w:r w:rsidRPr="00956486">
        <w:rPr>
          <w:sz w:val="22"/>
          <w:szCs w:val="22"/>
        </w:rPr>
        <w:t>Conversion costs improved across the network, with lean manufacturing and uptime discipline in the Southern portfolio</w:t>
      </w:r>
    </w:p>
    <w:p w14:paraId="6E30DB19" w14:textId="77777777" w:rsidR="00B6601A" w:rsidRPr="00956486" w:rsidRDefault="00B6601A" w:rsidP="00127934">
      <w:pPr>
        <w:pStyle w:val="NormalWeb"/>
        <w:numPr>
          <w:ilvl w:val="0"/>
          <w:numId w:val="109"/>
        </w:numPr>
        <w:rPr>
          <w:sz w:val="22"/>
          <w:szCs w:val="22"/>
        </w:rPr>
      </w:pPr>
      <w:r w:rsidRPr="00956486">
        <w:rPr>
          <w:sz w:val="22"/>
          <w:szCs w:val="22"/>
        </w:rPr>
        <w:t xml:space="preserve">Panel business (OSB and MDF) showed flat pricing but good volumes; housing </w:t>
      </w:r>
      <w:proofErr w:type="gramStart"/>
      <w:r w:rsidRPr="00956486">
        <w:rPr>
          <w:sz w:val="22"/>
          <w:szCs w:val="22"/>
        </w:rPr>
        <w:t>starts</w:t>
      </w:r>
      <w:proofErr w:type="gramEnd"/>
      <w:r w:rsidRPr="00956486">
        <w:rPr>
          <w:sz w:val="22"/>
          <w:szCs w:val="22"/>
        </w:rPr>
        <w:t xml:space="preserve"> supported board demand</w:t>
      </w:r>
    </w:p>
    <w:p w14:paraId="63524BE3" w14:textId="77777777" w:rsidR="00B6601A" w:rsidRPr="00956486" w:rsidRDefault="00B6601A" w:rsidP="00B6601A">
      <w:pPr>
        <w:pStyle w:val="NormalWeb"/>
        <w:rPr>
          <w:sz w:val="22"/>
          <w:szCs w:val="22"/>
        </w:rPr>
      </w:pPr>
      <w:r w:rsidRPr="00956486">
        <w:rPr>
          <w:rStyle w:val="Strong"/>
          <w:rFonts w:eastAsiaTheme="majorEastAsia"/>
          <w:sz w:val="22"/>
          <w:szCs w:val="22"/>
        </w:rPr>
        <w:t>Business Expansions &amp; Capital Expenditure Plans</w:t>
      </w:r>
    </w:p>
    <w:p w14:paraId="67361C67" w14:textId="77777777" w:rsidR="00B6601A" w:rsidRPr="00956486" w:rsidRDefault="00B6601A" w:rsidP="00127934">
      <w:pPr>
        <w:pStyle w:val="NormalWeb"/>
        <w:numPr>
          <w:ilvl w:val="0"/>
          <w:numId w:val="110"/>
        </w:numPr>
        <w:rPr>
          <w:sz w:val="22"/>
          <w:szCs w:val="22"/>
        </w:rPr>
      </w:pPr>
      <w:r w:rsidRPr="00956486">
        <w:rPr>
          <w:sz w:val="22"/>
          <w:szCs w:val="22"/>
        </w:rPr>
        <w:t xml:space="preserve">Q2 </w:t>
      </w:r>
      <w:proofErr w:type="spellStart"/>
      <w:r w:rsidRPr="00956486">
        <w:rPr>
          <w:sz w:val="22"/>
          <w:szCs w:val="22"/>
        </w:rPr>
        <w:t>CapEx</w:t>
      </w:r>
      <w:proofErr w:type="spellEnd"/>
      <w:r w:rsidRPr="00956486">
        <w:rPr>
          <w:sz w:val="22"/>
          <w:szCs w:val="22"/>
        </w:rPr>
        <w:t xml:space="preserve"> of </w:t>
      </w:r>
      <w:r w:rsidRPr="00956486">
        <w:rPr>
          <w:rStyle w:val="Strong"/>
          <w:rFonts w:eastAsiaTheme="majorEastAsia"/>
          <w:sz w:val="22"/>
          <w:szCs w:val="22"/>
        </w:rPr>
        <w:t>$110 million</w:t>
      </w:r>
      <w:r w:rsidRPr="00956486">
        <w:rPr>
          <w:sz w:val="22"/>
          <w:szCs w:val="22"/>
        </w:rPr>
        <w:t xml:space="preserve"> focused on:</w:t>
      </w:r>
    </w:p>
    <w:p w14:paraId="21EC8C90" w14:textId="77777777" w:rsidR="00B6601A" w:rsidRPr="00956486" w:rsidRDefault="00B6601A" w:rsidP="00127934">
      <w:pPr>
        <w:pStyle w:val="NormalWeb"/>
        <w:numPr>
          <w:ilvl w:val="1"/>
          <w:numId w:val="110"/>
        </w:numPr>
        <w:rPr>
          <w:sz w:val="22"/>
          <w:szCs w:val="22"/>
        </w:rPr>
      </w:pPr>
      <w:r w:rsidRPr="00956486">
        <w:rPr>
          <w:sz w:val="22"/>
          <w:szCs w:val="22"/>
        </w:rPr>
        <w:t>Maintenance and uptime reliability at Southern sawmills</w:t>
      </w:r>
    </w:p>
    <w:p w14:paraId="0AD92E6E" w14:textId="77777777" w:rsidR="00B6601A" w:rsidRPr="00956486" w:rsidRDefault="00B6601A" w:rsidP="00127934">
      <w:pPr>
        <w:pStyle w:val="NormalWeb"/>
        <w:numPr>
          <w:ilvl w:val="1"/>
          <w:numId w:val="110"/>
        </w:numPr>
        <w:rPr>
          <w:sz w:val="22"/>
          <w:szCs w:val="22"/>
        </w:rPr>
      </w:pPr>
      <w:r w:rsidRPr="00956486">
        <w:rPr>
          <w:sz w:val="22"/>
          <w:szCs w:val="22"/>
        </w:rPr>
        <w:t>Automation upgrades in finishing and grading lines</w:t>
      </w:r>
    </w:p>
    <w:p w14:paraId="48D6FBB1" w14:textId="77777777" w:rsidR="00B6601A" w:rsidRPr="00956486" w:rsidRDefault="00B6601A" w:rsidP="00127934">
      <w:pPr>
        <w:pStyle w:val="NormalWeb"/>
        <w:numPr>
          <w:ilvl w:val="1"/>
          <w:numId w:val="110"/>
        </w:numPr>
        <w:rPr>
          <w:sz w:val="22"/>
          <w:szCs w:val="22"/>
        </w:rPr>
      </w:pPr>
      <w:r w:rsidRPr="00956486">
        <w:rPr>
          <w:sz w:val="22"/>
          <w:szCs w:val="22"/>
        </w:rPr>
        <w:t>Energy efficiency retrofits across U.S. South mills</w:t>
      </w:r>
    </w:p>
    <w:p w14:paraId="7A8284F2" w14:textId="77777777" w:rsidR="00B6601A" w:rsidRPr="00956486" w:rsidRDefault="00B6601A" w:rsidP="00127934">
      <w:pPr>
        <w:pStyle w:val="NormalWeb"/>
        <w:numPr>
          <w:ilvl w:val="0"/>
          <w:numId w:val="110"/>
        </w:numPr>
        <w:rPr>
          <w:sz w:val="22"/>
          <w:szCs w:val="22"/>
        </w:rPr>
      </w:pPr>
      <w:r w:rsidRPr="00956486">
        <w:rPr>
          <w:rStyle w:val="Strong"/>
          <w:rFonts w:eastAsiaTheme="majorEastAsia"/>
          <w:sz w:val="22"/>
          <w:szCs w:val="22"/>
        </w:rPr>
        <w:t>Alabama sawmills</w:t>
      </w:r>
      <w:r w:rsidRPr="00956486">
        <w:rPr>
          <w:sz w:val="22"/>
          <w:szCs w:val="22"/>
        </w:rPr>
        <w:t xml:space="preserve"> received:</w:t>
      </w:r>
    </w:p>
    <w:p w14:paraId="7C333B56" w14:textId="77777777" w:rsidR="00B6601A" w:rsidRPr="00956486" w:rsidRDefault="00B6601A" w:rsidP="00127934">
      <w:pPr>
        <w:pStyle w:val="NormalWeb"/>
        <w:numPr>
          <w:ilvl w:val="1"/>
          <w:numId w:val="110"/>
        </w:numPr>
        <w:rPr>
          <w:sz w:val="22"/>
          <w:szCs w:val="22"/>
        </w:rPr>
      </w:pPr>
      <w:r w:rsidRPr="00956486">
        <w:rPr>
          <w:sz w:val="22"/>
          <w:szCs w:val="22"/>
        </w:rPr>
        <w:t xml:space="preserve">New log infeed systems in </w:t>
      </w:r>
      <w:r w:rsidRPr="00956486">
        <w:rPr>
          <w:rStyle w:val="Strong"/>
          <w:rFonts w:eastAsiaTheme="majorEastAsia"/>
          <w:sz w:val="22"/>
          <w:szCs w:val="22"/>
        </w:rPr>
        <w:t>Maplesville</w:t>
      </w:r>
    </w:p>
    <w:p w14:paraId="54784329" w14:textId="77777777" w:rsidR="00B6601A" w:rsidRPr="00956486" w:rsidRDefault="00B6601A" w:rsidP="00127934">
      <w:pPr>
        <w:pStyle w:val="NormalWeb"/>
        <w:numPr>
          <w:ilvl w:val="1"/>
          <w:numId w:val="110"/>
        </w:numPr>
        <w:rPr>
          <w:sz w:val="22"/>
          <w:szCs w:val="22"/>
        </w:rPr>
      </w:pPr>
      <w:r w:rsidRPr="00956486">
        <w:rPr>
          <w:sz w:val="22"/>
          <w:szCs w:val="22"/>
        </w:rPr>
        <w:t xml:space="preserve">Edger and trimmer system optimizations in </w:t>
      </w:r>
      <w:r w:rsidRPr="00956486">
        <w:rPr>
          <w:rStyle w:val="Strong"/>
          <w:rFonts w:eastAsiaTheme="majorEastAsia"/>
          <w:sz w:val="22"/>
          <w:szCs w:val="22"/>
        </w:rPr>
        <w:t>Opelika</w:t>
      </w:r>
    </w:p>
    <w:p w14:paraId="24B54B8C" w14:textId="77777777" w:rsidR="00B6601A" w:rsidRPr="00956486" w:rsidRDefault="00B6601A" w:rsidP="00127934">
      <w:pPr>
        <w:pStyle w:val="NormalWeb"/>
        <w:numPr>
          <w:ilvl w:val="1"/>
          <w:numId w:val="110"/>
        </w:numPr>
        <w:rPr>
          <w:sz w:val="22"/>
          <w:szCs w:val="22"/>
        </w:rPr>
      </w:pPr>
      <w:r w:rsidRPr="00956486">
        <w:rPr>
          <w:sz w:val="22"/>
          <w:szCs w:val="22"/>
        </w:rPr>
        <w:t xml:space="preserve">ERP-connected scanning upgrades in </w:t>
      </w:r>
      <w:r w:rsidRPr="00956486">
        <w:rPr>
          <w:rStyle w:val="Strong"/>
          <w:rFonts w:eastAsiaTheme="majorEastAsia"/>
          <w:sz w:val="22"/>
          <w:szCs w:val="22"/>
        </w:rPr>
        <w:t>Lanett</w:t>
      </w:r>
    </w:p>
    <w:p w14:paraId="5A1FF08E" w14:textId="77777777" w:rsidR="00B6601A" w:rsidRPr="00956486" w:rsidRDefault="00B6601A" w:rsidP="00127934">
      <w:pPr>
        <w:pStyle w:val="NormalWeb"/>
        <w:numPr>
          <w:ilvl w:val="0"/>
          <w:numId w:val="110"/>
        </w:numPr>
        <w:rPr>
          <w:sz w:val="22"/>
          <w:szCs w:val="22"/>
        </w:rPr>
      </w:pPr>
      <w:r w:rsidRPr="00956486">
        <w:rPr>
          <w:sz w:val="22"/>
          <w:szCs w:val="22"/>
        </w:rPr>
        <w:t xml:space="preserve">FY2025 </w:t>
      </w:r>
      <w:proofErr w:type="spellStart"/>
      <w:r w:rsidRPr="00956486">
        <w:rPr>
          <w:sz w:val="22"/>
          <w:szCs w:val="22"/>
        </w:rPr>
        <w:t>CapEx</w:t>
      </w:r>
      <w:proofErr w:type="spellEnd"/>
      <w:r w:rsidRPr="00956486">
        <w:rPr>
          <w:sz w:val="22"/>
          <w:szCs w:val="22"/>
        </w:rPr>
        <w:t xml:space="preserve"> expected to remain focused on U.S. South sawmills:</w:t>
      </w:r>
    </w:p>
    <w:p w14:paraId="165C685B" w14:textId="77777777" w:rsidR="00B6601A" w:rsidRPr="00956486" w:rsidRDefault="00B6601A" w:rsidP="00127934">
      <w:pPr>
        <w:pStyle w:val="NormalWeb"/>
        <w:numPr>
          <w:ilvl w:val="1"/>
          <w:numId w:val="110"/>
        </w:numPr>
        <w:rPr>
          <w:sz w:val="22"/>
          <w:szCs w:val="22"/>
        </w:rPr>
      </w:pPr>
      <w:r w:rsidRPr="00956486">
        <w:rPr>
          <w:sz w:val="22"/>
          <w:szCs w:val="22"/>
        </w:rPr>
        <w:t>No greenfield projects, but targeted investments to increase throughput and lower per-unit costs</w:t>
      </w:r>
    </w:p>
    <w:p w14:paraId="721C2CB1" w14:textId="77777777" w:rsidR="00B6601A" w:rsidRPr="00956486" w:rsidRDefault="00B6601A" w:rsidP="00127934">
      <w:pPr>
        <w:pStyle w:val="NormalWeb"/>
        <w:numPr>
          <w:ilvl w:val="1"/>
          <w:numId w:val="110"/>
        </w:numPr>
        <w:rPr>
          <w:sz w:val="22"/>
          <w:szCs w:val="22"/>
        </w:rPr>
      </w:pPr>
      <w:r w:rsidRPr="00956486">
        <w:rPr>
          <w:sz w:val="22"/>
          <w:szCs w:val="22"/>
        </w:rPr>
        <w:t>Continued investment in mill digitalization and workforce development in Alabama</w:t>
      </w:r>
    </w:p>
    <w:p w14:paraId="3DEB8700" w14:textId="77777777" w:rsidR="00B6601A" w:rsidRPr="00956486" w:rsidRDefault="00B6601A" w:rsidP="00127934">
      <w:pPr>
        <w:pStyle w:val="NormalWeb"/>
        <w:numPr>
          <w:ilvl w:val="0"/>
          <w:numId w:val="110"/>
        </w:numPr>
        <w:rPr>
          <w:sz w:val="22"/>
          <w:szCs w:val="22"/>
        </w:rPr>
      </w:pPr>
      <w:r w:rsidRPr="00956486">
        <w:rPr>
          <w:sz w:val="22"/>
          <w:szCs w:val="22"/>
        </w:rPr>
        <w:t>Company paused major Canadian investments amid regulatory and cost headwinds; focus remains on Southern U.S.</w:t>
      </w:r>
    </w:p>
    <w:p w14:paraId="0FA6D8DB" w14:textId="77777777" w:rsidR="00B6601A" w:rsidRPr="00956486" w:rsidRDefault="00B6601A" w:rsidP="00B6601A">
      <w:pPr>
        <w:pStyle w:val="NormalWeb"/>
        <w:rPr>
          <w:sz w:val="22"/>
          <w:szCs w:val="22"/>
        </w:rPr>
      </w:pPr>
      <w:r w:rsidRPr="00956486">
        <w:rPr>
          <w:rStyle w:val="Strong"/>
          <w:rFonts w:eastAsiaTheme="majorEastAsia"/>
          <w:sz w:val="22"/>
          <w:szCs w:val="22"/>
        </w:rPr>
        <w:t>Segment Performance &amp; Outlook</w:t>
      </w:r>
    </w:p>
    <w:p w14:paraId="0ED9F279" w14:textId="77777777" w:rsidR="00B6601A" w:rsidRPr="00956486" w:rsidRDefault="00B6601A" w:rsidP="00127934">
      <w:pPr>
        <w:pStyle w:val="NormalWeb"/>
        <w:numPr>
          <w:ilvl w:val="0"/>
          <w:numId w:val="111"/>
        </w:numPr>
        <w:rPr>
          <w:sz w:val="22"/>
          <w:szCs w:val="22"/>
        </w:rPr>
      </w:pPr>
      <w:r w:rsidRPr="00956486">
        <w:rPr>
          <w:rStyle w:val="Strong"/>
          <w:rFonts w:eastAsiaTheme="majorEastAsia"/>
          <w:sz w:val="22"/>
          <w:szCs w:val="22"/>
        </w:rPr>
        <w:t>Lumber</w:t>
      </w:r>
      <w:r w:rsidRPr="00956486">
        <w:rPr>
          <w:sz w:val="22"/>
          <w:szCs w:val="22"/>
        </w:rPr>
        <w:t>:</w:t>
      </w:r>
    </w:p>
    <w:p w14:paraId="5A37C62D" w14:textId="77777777" w:rsidR="00B6601A" w:rsidRPr="00956486" w:rsidRDefault="00B6601A" w:rsidP="00127934">
      <w:pPr>
        <w:pStyle w:val="NormalWeb"/>
        <w:numPr>
          <w:ilvl w:val="1"/>
          <w:numId w:val="111"/>
        </w:numPr>
        <w:rPr>
          <w:sz w:val="22"/>
          <w:szCs w:val="22"/>
        </w:rPr>
      </w:pPr>
      <w:r w:rsidRPr="00956486">
        <w:rPr>
          <w:sz w:val="22"/>
          <w:szCs w:val="22"/>
        </w:rPr>
        <w:t>Revenue: $1.46B</w:t>
      </w:r>
    </w:p>
    <w:p w14:paraId="28BA8B5C" w14:textId="77777777" w:rsidR="00B6601A" w:rsidRPr="00956486" w:rsidRDefault="00B6601A" w:rsidP="00127934">
      <w:pPr>
        <w:pStyle w:val="NormalWeb"/>
        <w:numPr>
          <w:ilvl w:val="1"/>
          <w:numId w:val="111"/>
        </w:numPr>
        <w:rPr>
          <w:sz w:val="22"/>
          <w:szCs w:val="22"/>
        </w:rPr>
      </w:pPr>
      <w:r w:rsidRPr="00956486">
        <w:rPr>
          <w:sz w:val="22"/>
          <w:szCs w:val="22"/>
        </w:rPr>
        <w:t>EBITDA: $187M</w:t>
      </w:r>
    </w:p>
    <w:p w14:paraId="17810830" w14:textId="77777777" w:rsidR="00B6601A" w:rsidRPr="00956486" w:rsidRDefault="00B6601A" w:rsidP="00127934">
      <w:pPr>
        <w:pStyle w:val="NormalWeb"/>
        <w:numPr>
          <w:ilvl w:val="1"/>
          <w:numId w:val="111"/>
        </w:numPr>
        <w:rPr>
          <w:sz w:val="22"/>
          <w:szCs w:val="22"/>
        </w:rPr>
      </w:pPr>
      <w:r w:rsidRPr="00956486">
        <w:rPr>
          <w:sz w:val="22"/>
          <w:szCs w:val="22"/>
        </w:rPr>
        <w:t xml:space="preserve">U.S. South mills had positive margin </w:t>
      </w:r>
      <w:proofErr w:type="gramStart"/>
      <w:r w:rsidRPr="00956486">
        <w:rPr>
          <w:sz w:val="22"/>
          <w:szCs w:val="22"/>
        </w:rPr>
        <w:t>contribution;</w:t>
      </w:r>
      <w:proofErr w:type="gramEnd"/>
      <w:r w:rsidRPr="00956486">
        <w:rPr>
          <w:sz w:val="22"/>
          <w:szCs w:val="22"/>
        </w:rPr>
        <w:t xml:space="preserve"> Western Canada near breakeven</w:t>
      </w:r>
    </w:p>
    <w:p w14:paraId="4C23E304" w14:textId="77777777" w:rsidR="00B6601A" w:rsidRPr="00956486" w:rsidRDefault="00B6601A" w:rsidP="00127934">
      <w:pPr>
        <w:pStyle w:val="NormalWeb"/>
        <w:numPr>
          <w:ilvl w:val="1"/>
          <w:numId w:val="111"/>
        </w:numPr>
        <w:rPr>
          <w:sz w:val="22"/>
          <w:szCs w:val="22"/>
        </w:rPr>
      </w:pPr>
      <w:r w:rsidRPr="00956486">
        <w:rPr>
          <w:sz w:val="22"/>
          <w:szCs w:val="22"/>
        </w:rPr>
        <w:t>Alabama sawmills contributed to EBITDA growth with high uptime and optimized staffing</w:t>
      </w:r>
    </w:p>
    <w:p w14:paraId="17C8F888" w14:textId="77777777" w:rsidR="00B6601A" w:rsidRPr="00956486" w:rsidRDefault="00B6601A" w:rsidP="00127934">
      <w:pPr>
        <w:pStyle w:val="NormalWeb"/>
        <w:numPr>
          <w:ilvl w:val="1"/>
          <w:numId w:val="111"/>
        </w:numPr>
        <w:rPr>
          <w:sz w:val="22"/>
          <w:szCs w:val="22"/>
        </w:rPr>
      </w:pPr>
      <w:r w:rsidRPr="00956486">
        <w:rPr>
          <w:sz w:val="22"/>
          <w:szCs w:val="22"/>
        </w:rPr>
        <w:t>Expect continued stable demand from R&amp;R, while new housing may improve later in H2 if mortgage rates ease</w:t>
      </w:r>
    </w:p>
    <w:p w14:paraId="13F33859" w14:textId="77777777" w:rsidR="00B6601A" w:rsidRPr="00956486" w:rsidRDefault="00B6601A" w:rsidP="00127934">
      <w:pPr>
        <w:pStyle w:val="NormalWeb"/>
        <w:numPr>
          <w:ilvl w:val="0"/>
          <w:numId w:val="111"/>
        </w:numPr>
        <w:rPr>
          <w:sz w:val="22"/>
          <w:szCs w:val="22"/>
        </w:rPr>
      </w:pPr>
      <w:r w:rsidRPr="00956486">
        <w:rPr>
          <w:rStyle w:val="Strong"/>
          <w:rFonts w:eastAsiaTheme="majorEastAsia"/>
          <w:sz w:val="22"/>
          <w:szCs w:val="22"/>
        </w:rPr>
        <w:t>Panels (OSB, MDF)</w:t>
      </w:r>
      <w:r w:rsidRPr="00956486">
        <w:rPr>
          <w:sz w:val="22"/>
          <w:szCs w:val="22"/>
        </w:rPr>
        <w:t>:</w:t>
      </w:r>
    </w:p>
    <w:p w14:paraId="74C577FC" w14:textId="77777777" w:rsidR="00B6601A" w:rsidRPr="00956486" w:rsidRDefault="00B6601A" w:rsidP="00127934">
      <w:pPr>
        <w:pStyle w:val="NormalWeb"/>
        <w:numPr>
          <w:ilvl w:val="1"/>
          <w:numId w:val="111"/>
        </w:numPr>
        <w:rPr>
          <w:sz w:val="22"/>
          <w:szCs w:val="22"/>
        </w:rPr>
      </w:pPr>
      <w:r w:rsidRPr="00956486">
        <w:rPr>
          <w:sz w:val="22"/>
          <w:szCs w:val="22"/>
        </w:rPr>
        <w:t>Revenue: $425M</w:t>
      </w:r>
    </w:p>
    <w:p w14:paraId="5698ED97" w14:textId="77777777" w:rsidR="00B6601A" w:rsidRPr="00956486" w:rsidRDefault="00B6601A" w:rsidP="00127934">
      <w:pPr>
        <w:pStyle w:val="NormalWeb"/>
        <w:numPr>
          <w:ilvl w:val="1"/>
          <w:numId w:val="111"/>
        </w:numPr>
        <w:rPr>
          <w:sz w:val="22"/>
          <w:szCs w:val="22"/>
        </w:rPr>
      </w:pPr>
      <w:r w:rsidRPr="00956486">
        <w:rPr>
          <w:sz w:val="22"/>
          <w:szCs w:val="22"/>
        </w:rPr>
        <w:t>EBITDA: $58M</w:t>
      </w:r>
    </w:p>
    <w:p w14:paraId="43DF9B30" w14:textId="77777777" w:rsidR="00B6601A" w:rsidRPr="00956486" w:rsidRDefault="00B6601A" w:rsidP="00127934">
      <w:pPr>
        <w:pStyle w:val="NormalWeb"/>
        <w:numPr>
          <w:ilvl w:val="1"/>
          <w:numId w:val="111"/>
        </w:numPr>
        <w:rPr>
          <w:sz w:val="22"/>
          <w:szCs w:val="22"/>
        </w:rPr>
      </w:pPr>
      <w:r w:rsidRPr="00956486">
        <w:rPr>
          <w:sz w:val="22"/>
          <w:szCs w:val="22"/>
        </w:rPr>
        <w:t>Volume stable; pricing down 3% sequentially</w:t>
      </w:r>
    </w:p>
    <w:p w14:paraId="74515867" w14:textId="77777777" w:rsidR="00B6601A" w:rsidRPr="00956486" w:rsidRDefault="00B6601A" w:rsidP="00127934">
      <w:pPr>
        <w:pStyle w:val="NormalWeb"/>
        <w:numPr>
          <w:ilvl w:val="1"/>
          <w:numId w:val="111"/>
        </w:numPr>
        <w:rPr>
          <w:sz w:val="22"/>
          <w:szCs w:val="22"/>
        </w:rPr>
      </w:pPr>
      <w:r w:rsidRPr="00956486">
        <w:rPr>
          <w:sz w:val="22"/>
          <w:szCs w:val="22"/>
        </w:rPr>
        <w:t>Strong demand from Southeast U.S. construction and export customers</w:t>
      </w:r>
    </w:p>
    <w:p w14:paraId="6FB94AB2" w14:textId="77777777" w:rsidR="00B6601A" w:rsidRPr="00956486" w:rsidRDefault="00B6601A" w:rsidP="00127934">
      <w:pPr>
        <w:pStyle w:val="NormalWeb"/>
        <w:numPr>
          <w:ilvl w:val="0"/>
          <w:numId w:val="111"/>
        </w:numPr>
        <w:rPr>
          <w:sz w:val="22"/>
          <w:szCs w:val="22"/>
        </w:rPr>
      </w:pPr>
      <w:r w:rsidRPr="00956486">
        <w:rPr>
          <w:rStyle w:val="Strong"/>
          <w:rFonts w:eastAsiaTheme="majorEastAsia"/>
          <w:sz w:val="22"/>
          <w:szCs w:val="22"/>
        </w:rPr>
        <w:t>Pulp &amp; Paper</w:t>
      </w:r>
      <w:r w:rsidRPr="00956486">
        <w:rPr>
          <w:sz w:val="22"/>
          <w:szCs w:val="22"/>
        </w:rPr>
        <w:t>:</w:t>
      </w:r>
    </w:p>
    <w:p w14:paraId="3273826E" w14:textId="77777777" w:rsidR="00B6601A" w:rsidRPr="00956486" w:rsidRDefault="00B6601A" w:rsidP="00127934">
      <w:pPr>
        <w:pStyle w:val="NormalWeb"/>
        <w:numPr>
          <w:ilvl w:val="1"/>
          <w:numId w:val="111"/>
        </w:numPr>
        <w:rPr>
          <w:sz w:val="22"/>
          <w:szCs w:val="22"/>
        </w:rPr>
      </w:pPr>
      <w:r w:rsidRPr="00956486">
        <w:rPr>
          <w:sz w:val="22"/>
          <w:szCs w:val="22"/>
        </w:rPr>
        <w:t>Revenue: $220M</w:t>
      </w:r>
    </w:p>
    <w:p w14:paraId="145F81DE" w14:textId="77777777" w:rsidR="00B6601A" w:rsidRPr="00956486" w:rsidRDefault="00B6601A" w:rsidP="00127934">
      <w:pPr>
        <w:pStyle w:val="NormalWeb"/>
        <w:numPr>
          <w:ilvl w:val="1"/>
          <w:numId w:val="111"/>
        </w:numPr>
        <w:rPr>
          <w:sz w:val="22"/>
          <w:szCs w:val="22"/>
        </w:rPr>
      </w:pPr>
      <w:r w:rsidRPr="00956486">
        <w:rPr>
          <w:sz w:val="22"/>
          <w:szCs w:val="22"/>
        </w:rPr>
        <w:t>EBITDA: $37M</w:t>
      </w:r>
    </w:p>
    <w:p w14:paraId="2F05D533" w14:textId="77777777" w:rsidR="00B6601A" w:rsidRPr="00956486" w:rsidRDefault="00B6601A" w:rsidP="00127934">
      <w:pPr>
        <w:pStyle w:val="NormalWeb"/>
        <w:numPr>
          <w:ilvl w:val="1"/>
          <w:numId w:val="111"/>
        </w:numPr>
        <w:rPr>
          <w:sz w:val="22"/>
          <w:szCs w:val="22"/>
        </w:rPr>
      </w:pPr>
      <w:r w:rsidRPr="00956486">
        <w:rPr>
          <w:sz w:val="22"/>
          <w:szCs w:val="22"/>
        </w:rPr>
        <w:lastRenderedPageBreak/>
        <w:t>Shipments rebounded from Q1 supply disruptions</w:t>
      </w:r>
    </w:p>
    <w:p w14:paraId="0DD0DE2C" w14:textId="77777777" w:rsidR="00B6601A" w:rsidRPr="00956486" w:rsidRDefault="00B6601A" w:rsidP="00127934">
      <w:pPr>
        <w:pStyle w:val="NormalWeb"/>
        <w:numPr>
          <w:ilvl w:val="1"/>
          <w:numId w:val="111"/>
        </w:numPr>
        <w:rPr>
          <w:sz w:val="22"/>
          <w:szCs w:val="22"/>
        </w:rPr>
      </w:pPr>
      <w:r w:rsidRPr="00956486">
        <w:rPr>
          <w:sz w:val="22"/>
          <w:szCs w:val="22"/>
        </w:rPr>
        <w:t>Tissue and packaging-grade pulp orders remained firm</w:t>
      </w:r>
    </w:p>
    <w:p w14:paraId="20E7ECE4" w14:textId="77777777" w:rsidR="00B6601A" w:rsidRPr="00956486" w:rsidRDefault="00B6601A" w:rsidP="00127934">
      <w:pPr>
        <w:pStyle w:val="NormalWeb"/>
        <w:numPr>
          <w:ilvl w:val="0"/>
          <w:numId w:val="111"/>
        </w:numPr>
        <w:rPr>
          <w:sz w:val="22"/>
          <w:szCs w:val="22"/>
        </w:rPr>
      </w:pPr>
      <w:r w:rsidRPr="00956486">
        <w:rPr>
          <w:rStyle w:val="Strong"/>
          <w:rFonts w:eastAsiaTheme="majorEastAsia"/>
          <w:sz w:val="22"/>
          <w:szCs w:val="22"/>
        </w:rPr>
        <w:t>Outlook</w:t>
      </w:r>
      <w:r w:rsidRPr="00956486">
        <w:rPr>
          <w:sz w:val="22"/>
          <w:szCs w:val="22"/>
        </w:rPr>
        <w:t>:</w:t>
      </w:r>
    </w:p>
    <w:p w14:paraId="7C77B56D" w14:textId="77777777" w:rsidR="00B6601A" w:rsidRPr="00956486" w:rsidRDefault="00B6601A" w:rsidP="00127934">
      <w:pPr>
        <w:pStyle w:val="NormalWeb"/>
        <w:numPr>
          <w:ilvl w:val="1"/>
          <w:numId w:val="111"/>
        </w:numPr>
        <w:rPr>
          <w:sz w:val="22"/>
          <w:szCs w:val="22"/>
        </w:rPr>
      </w:pPr>
      <w:r w:rsidRPr="00956486">
        <w:rPr>
          <w:sz w:val="22"/>
          <w:szCs w:val="22"/>
        </w:rPr>
        <w:t>Q3 expected to show continued improvement in lumber earnings, especially in the U.S. South</w:t>
      </w:r>
    </w:p>
    <w:p w14:paraId="17780532" w14:textId="77777777" w:rsidR="00B6601A" w:rsidRPr="00956486" w:rsidRDefault="00B6601A" w:rsidP="00127934">
      <w:pPr>
        <w:pStyle w:val="NormalWeb"/>
        <w:numPr>
          <w:ilvl w:val="1"/>
          <w:numId w:val="111"/>
        </w:numPr>
        <w:rPr>
          <w:sz w:val="22"/>
          <w:szCs w:val="22"/>
        </w:rPr>
      </w:pPr>
      <w:r w:rsidRPr="00956486">
        <w:rPr>
          <w:sz w:val="22"/>
          <w:szCs w:val="22"/>
        </w:rPr>
        <w:t xml:space="preserve">Panel volumes expected to be </w:t>
      </w:r>
      <w:proofErr w:type="gramStart"/>
      <w:r w:rsidRPr="00956486">
        <w:rPr>
          <w:sz w:val="22"/>
          <w:szCs w:val="22"/>
        </w:rPr>
        <w:t>steady;</w:t>
      </w:r>
      <w:proofErr w:type="gramEnd"/>
      <w:r w:rsidRPr="00956486">
        <w:rPr>
          <w:sz w:val="22"/>
          <w:szCs w:val="22"/>
        </w:rPr>
        <w:t xml:space="preserve"> price movement uncertain</w:t>
      </w:r>
    </w:p>
    <w:p w14:paraId="726C0689" w14:textId="77777777" w:rsidR="00B6601A" w:rsidRPr="00956486" w:rsidRDefault="00B6601A" w:rsidP="00127934">
      <w:pPr>
        <w:pStyle w:val="NormalWeb"/>
        <w:numPr>
          <w:ilvl w:val="1"/>
          <w:numId w:val="111"/>
        </w:numPr>
        <w:rPr>
          <w:sz w:val="22"/>
          <w:szCs w:val="22"/>
        </w:rPr>
      </w:pPr>
      <w:r w:rsidRPr="00956486">
        <w:rPr>
          <w:sz w:val="22"/>
          <w:szCs w:val="22"/>
        </w:rPr>
        <w:t>Strategic plan remains to grow Southern U.S. presence through organic efficiency gains and opportunistic acquisitions</w:t>
      </w:r>
    </w:p>
    <w:p w14:paraId="35439887" w14:textId="77777777" w:rsidR="00B6601A" w:rsidRPr="00956486" w:rsidRDefault="00B6601A" w:rsidP="00127934">
      <w:pPr>
        <w:pStyle w:val="NormalWeb"/>
        <w:numPr>
          <w:ilvl w:val="1"/>
          <w:numId w:val="111"/>
        </w:numPr>
        <w:rPr>
          <w:sz w:val="22"/>
          <w:szCs w:val="22"/>
        </w:rPr>
      </w:pPr>
      <w:r w:rsidRPr="00956486">
        <w:rPr>
          <w:sz w:val="22"/>
          <w:szCs w:val="22"/>
        </w:rPr>
        <w:t xml:space="preserve">Alabama facilities in </w:t>
      </w:r>
      <w:r w:rsidRPr="00956486">
        <w:rPr>
          <w:rStyle w:val="Strong"/>
          <w:rFonts w:eastAsiaTheme="majorEastAsia"/>
          <w:sz w:val="22"/>
          <w:szCs w:val="22"/>
        </w:rPr>
        <w:t>Maplesville, Opelika, and Lanett</w:t>
      </w:r>
      <w:r w:rsidRPr="00956486">
        <w:rPr>
          <w:sz w:val="22"/>
          <w:szCs w:val="22"/>
        </w:rPr>
        <w:t xml:space="preserve"> remain core contributors to this strategy due to favorable log availability, location, and labor performance</w:t>
      </w:r>
    </w:p>
    <w:p w14:paraId="51A5F342" w14:textId="090B0B43"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2F4B193A" w14:textId="4328EEC5" w:rsidR="2535092B" w:rsidRDefault="2535092B" w:rsidP="2535092B">
      <w:pPr>
        <w:spacing w:beforeAutospacing="1" w:afterAutospacing="1" w:line="240" w:lineRule="auto"/>
        <w:rPr>
          <w:rFonts w:ascii="Times New Roman" w:eastAsia="Times New Roman" w:hAnsi="Times New Roman" w:cs="Times New Roman"/>
          <w:color w:val="000000" w:themeColor="text1"/>
        </w:rPr>
      </w:pPr>
    </w:p>
    <w:p w14:paraId="366AD3DC" w14:textId="60DCB6DB" w:rsidR="3CA273EB" w:rsidRDefault="3CA273EB" w:rsidP="3CA273EB">
      <w:pPr>
        <w:rPr>
          <w:rFonts w:ascii="Times New Roman" w:hAnsi="Times New Roman" w:cs="Times New Roman"/>
        </w:rPr>
      </w:pPr>
    </w:p>
    <w:p w14:paraId="23A19AAA" w14:textId="4256536A" w:rsidR="008B733A" w:rsidRPr="00BC0D8E" w:rsidRDefault="34354836" w:rsidP="006B4E8C">
      <w:pPr>
        <w:pStyle w:val="Heading2"/>
        <w:rPr>
          <w:rFonts w:cs="Times New Roman"/>
        </w:rPr>
      </w:pPr>
      <w:bookmarkStart w:id="149" w:name="_Toc147824715"/>
      <w:bookmarkStart w:id="150" w:name="_Toc212796797"/>
      <w:r w:rsidRPr="2535092B">
        <w:rPr>
          <w:rFonts w:cs="Times New Roman"/>
        </w:rPr>
        <w:t>Westwater Resources Inc. (</w:t>
      </w:r>
      <w:proofErr w:type="gramStart"/>
      <w:r w:rsidRPr="2535092B">
        <w:rPr>
          <w:rFonts w:cs="Times New Roman"/>
        </w:rPr>
        <w:t>NYSE:WWR</w:t>
      </w:r>
      <w:proofErr w:type="gramEnd"/>
      <w:r w:rsidRPr="2535092B">
        <w:rPr>
          <w:rFonts w:cs="Times New Roman"/>
        </w:rPr>
        <w:t>)</w:t>
      </w:r>
      <w:bookmarkEnd w:id="149"/>
      <w:bookmarkEnd w:id="150"/>
      <w:r w:rsidRPr="2535092B">
        <w:rPr>
          <w:rFonts w:cs="Times New Roman"/>
        </w:rPr>
        <w:t xml:space="preserve"> </w:t>
      </w:r>
    </w:p>
    <w:p w14:paraId="09B73664" w14:textId="13907B4B" w:rsidR="008B733A" w:rsidRPr="00BC0D8E" w:rsidRDefault="34354836" w:rsidP="006B4E8C">
      <w:pPr>
        <w:pStyle w:val="Heading3"/>
        <w:rPr>
          <w:rFonts w:cs="Times New Roman"/>
        </w:rPr>
      </w:pPr>
      <w:bookmarkStart w:id="151" w:name="_Toc147824716"/>
      <w:bookmarkStart w:id="152" w:name="_Toc212796798"/>
      <w:r w:rsidRPr="35ADD9A1">
        <w:rPr>
          <w:rFonts w:cs="Times New Roman"/>
        </w:rPr>
        <w:t xml:space="preserve">Outlook: </w:t>
      </w:r>
      <w:r w:rsidR="352B9066" w:rsidRPr="35ADD9A1">
        <w:rPr>
          <w:rFonts w:cs="Times New Roman"/>
        </w:rPr>
        <w:t>Neutral</w:t>
      </w:r>
      <w:bookmarkEnd w:id="151"/>
      <w:bookmarkEnd w:id="152"/>
    </w:p>
    <w:p w14:paraId="54AE4A82" w14:textId="130814A1" w:rsidR="008B733A" w:rsidRPr="00BC0D8E" w:rsidRDefault="34354836" w:rsidP="006B4E8C">
      <w:pPr>
        <w:pStyle w:val="Heading3"/>
        <w:rPr>
          <w:rFonts w:cs="Times New Roman"/>
        </w:rPr>
      </w:pPr>
      <w:bookmarkStart w:id="153" w:name="_Toc147824717"/>
      <w:bookmarkStart w:id="154" w:name="_Toc212796799"/>
      <w:r w:rsidRPr="35ADD9A1">
        <w:rPr>
          <w:rFonts w:cs="Times New Roman"/>
        </w:rPr>
        <w:t xml:space="preserve">AL Outlook: </w:t>
      </w:r>
      <w:bookmarkEnd w:id="153"/>
      <w:r w:rsidR="00D02B5E" w:rsidRPr="00AF2939">
        <w:rPr>
          <w:rFonts w:cs="Times New Roman"/>
          <w:color w:val="00B050"/>
        </w:rPr>
        <w:t>Positive</w:t>
      </w:r>
      <w:bookmarkEnd w:id="154"/>
    </w:p>
    <w:p w14:paraId="3D6D2F33" w14:textId="146D440C" w:rsidR="008B733A" w:rsidRPr="00BC0D8E" w:rsidRDefault="006E300D" w:rsidP="35ADD9A1">
      <w:pPr>
        <w:rPr>
          <w:rFonts w:ascii="Times New Roman" w:hAnsi="Times New Roman" w:cs="Times New Roman"/>
          <w:b/>
          <w:bCs/>
        </w:rPr>
      </w:pPr>
      <w:r w:rsidRPr="35ADD9A1">
        <w:rPr>
          <w:rFonts w:ascii="Times New Roman" w:hAnsi="Times New Roman" w:cs="Times New Roman"/>
          <w:b/>
          <w:bCs/>
        </w:rPr>
        <w:t>Recommended Action:</w:t>
      </w:r>
      <w:r w:rsidR="02C33C46" w:rsidRPr="35ADD9A1">
        <w:rPr>
          <w:rFonts w:ascii="Times New Roman" w:hAnsi="Times New Roman" w:cs="Times New Roman"/>
          <w:b/>
          <w:bCs/>
        </w:rPr>
        <w:t xml:space="preserve"> </w:t>
      </w:r>
      <w:r w:rsidR="00336203" w:rsidRPr="00AF2939">
        <w:rPr>
          <w:rFonts w:ascii="Times New Roman" w:hAnsi="Times New Roman" w:cs="Times New Roman"/>
        </w:rPr>
        <w:t>Prepare for potential supplier and job creation opportunities as Kellyton’s graphite plant nears completion and aligns with federal battery supply chain priorities.</w:t>
      </w:r>
    </w:p>
    <w:p w14:paraId="47103E0D" w14:textId="5B5AD18D" w:rsidR="7E4D1F99" w:rsidRDefault="3CA42A53" w:rsidP="3CA273EB">
      <w:pPr>
        <w:spacing w:before="240" w:after="240"/>
        <w:rPr>
          <w:rFonts w:ascii="Times New Roman" w:eastAsia="Times New Roman" w:hAnsi="Times New Roman" w:cs="Times New Roman"/>
          <w:color w:val="000000" w:themeColor="text1"/>
        </w:rPr>
      </w:pPr>
      <w:r w:rsidRPr="2535092B">
        <w:rPr>
          <w:rFonts w:ascii="Times New Roman" w:eastAsia="Times New Roman" w:hAnsi="Times New Roman" w:cs="Times New Roman"/>
          <w:b/>
          <w:bCs/>
          <w:color w:val="000000" w:themeColor="text1"/>
        </w:rPr>
        <w:t>Alabama Location(s)</w:t>
      </w:r>
      <w:r w:rsidRPr="2535092B">
        <w:rPr>
          <w:rFonts w:ascii="Times New Roman" w:eastAsia="Times New Roman" w:hAnsi="Times New Roman" w:cs="Times New Roman"/>
          <w:color w:val="000000" w:themeColor="text1"/>
        </w:rPr>
        <w:t xml:space="preserve">: </w:t>
      </w:r>
      <w:proofErr w:type="spellStart"/>
      <w:r w:rsidRPr="2535092B">
        <w:rPr>
          <w:rFonts w:ascii="Times New Roman" w:eastAsia="Times New Roman" w:hAnsi="Times New Roman" w:cs="Times New Roman"/>
          <w:color w:val="000000" w:themeColor="text1"/>
        </w:rPr>
        <w:t>Kellyton</w:t>
      </w:r>
      <w:proofErr w:type="spellEnd"/>
      <w:r w:rsidRPr="2535092B">
        <w:rPr>
          <w:rFonts w:ascii="Times New Roman" w:eastAsia="Times New Roman" w:hAnsi="Times New Roman" w:cs="Times New Roman"/>
          <w:color w:val="000000" w:themeColor="text1"/>
        </w:rPr>
        <w:t>, Alabama: Graphite Anode Plant under construction, set to produce natural graphite anode materials.</w:t>
      </w:r>
    </w:p>
    <w:p w14:paraId="4A490DAC" w14:textId="77777777" w:rsidR="00C642F6" w:rsidRPr="008B6881" w:rsidRDefault="00C642F6" w:rsidP="00C642F6">
      <w:pPr>
        <w:pStyle w:val="NormalWeb"/>
        <w:rPr>
          <w:sz w:val="22"/>
          <w:szCs w:val="22"/>
        </w:rPr>
      </w:pPr>
      <w:r w:rsidRPr="008B6881">
        <w:rPr>
          <w:rStyle w:val="Strong"/>
          <w:rFonts w:eastAsiaTheme="majorEastAsia"/>
          <w:sz w:val="22"/>
          <w:szCs w:val="22"/>
        </w:rPr>
        <w:t>Key Takeaways</w:t>
      </w:r>
    </w:p>
    <w:p w14:paraId="6F9E4B02" w14:textId="77777777" w:rsidR="00C642F6" w:rsidRPr="008B6881" w:rsidRDefault="00C642F6" w:rsidP="00127934">
      <w:pPr>
        <w:pStyle w:val="NormalWeb"/>
        <w:numPr>
          <w:ilvl w:val="0"/>
          <w:numId w:val="112"/>
        </w:numPr>
        <w:rPr>
          <w:sz w:val="22"/>
          <w:szCs w:val="22"/>
        </w:rPr>
      </w:pPr>
      <w:r w:rsidRPr="008B6881">
        <w:rPr>
          <w:sz w:val="22"/>
          <w:szCs w:val="22"/>
        </w:rPr>
        <w:t xml:space="preserve">Westwater continues advancing toward commissioning its </w:t>
      </w:r>
      <w:proofErr w:type="spellStart"/>
      <w:r w:rsidRPr="008B6881">
        <w:rPr>
          <w:rStyle w:val="Strong"/>
          <w:rFonts w:eastAsiaTheme="majorEastAsia"/>
          <w:sz w:val="22"/>
          <w:szCs w:val="22"/>
        </w:rPr>
        <w:t>Kellyton</w:t>
      </w:r>
      <w:proofErr w:type="spellEnd"/>
      <w:r w:rsidRPr="008B6881">
        <w:rPr>
          <w:rStyle w:val="Strong"/>
          <w:rFonts w:eastAsiaTheme="majorEastAsia"/>
          <w:sz w:val="22"/>
          <w:szCs w:val="22"/>
        </w:rPr>
        <w:t xml:space="preserve"> graphite processing facility</w:t>
      </w:r>
      <w:r w:rsidRPr="008B6881">
        <w:rPr>
          <w:sz w:val="22"/>
          <w:szCs w:val="22"/>
        </w:rPr>
        <w:t xml:space="preserve">, with mechanical completion now expected in </w:t>
      </w:r>
      <w:r w:rsidRPr="008B6881">
        <w:rPr>
          <w:rStyle w:val="Strong"/>
          <w:rFonts w:eastAsiaTheme="majorEastAsia"/>
          <w:sz w:val="22"/>
          <w:szCs w:val="22"/>
        </w:rPr>
        <w:t>Q1 2026</w:t>
      </w:r>
      <w:r w:rsidRPr="008B6881">
        <w:rPr>
          <w:sz w:val="22"/>
          <w:szCs w:val="22"/>
        </w:rPr>
        <w:t xml:space="preserve"> — slightly later than prior guidance due to equipment delivery delays.</w:t>
      </w:r>
    </w:p>
    <w:p w14:paraId="26B08F87" w14:textId="77777777" w:rsidR="00C642F6" w:rsidRPr="008B6881" w:rsidRDefault="00C642F6" w:rsidP="00127934">
      <w:pPr>
        <w:pStyle w:val="NormalWeb"/>
        <w:numPr>
          <w:ilvl w:val="0"/>
          <w:numId w:val="112"/>
        </w:numPr>
        <w:rPr>
          <w:sz w:val="22"/>
          <w:szCs w:val="22"/>
        </w:rPr>
      </w:pPr>
      <w:r w:rsidRPr="008B6881">
        <w:rPr>
          <w:sz w:val="22"/>
          <w:szCs w:val="22"/>
        </w:rPr>
        <w:t xml:space="preserve">The </w:t>
      </w:r>
      <w:r w:rsidRPr="008B6881">
        <w:rPr>
          <w:rStyle w:val="Strong"/>
          <w:rFonts w:eastAsiaTheme="majorEastAsia"/>
          <w:sz w:val="22"/>
          <w:szCs w:val="22"/>
        </w:rPr>
        <w:t>Coosa Graphite Deposit</w:t>
      </w:r>
      <w:r w:rsidRPr="008B6881">
        <w:rPr>
          <w:sz w:val="22"/>
          <w:szCs w:val="22"/>
        </w:rPr>
        <w:t xml:space="preserve"> remains central to the company’s long-term integrated domestic supply chain strategy; permitting work and core analysis are ongoing to prepare for future mining operations.</w:t>
      </w:r>
    </w:p>
    <w:p w14:paraId="5E7EF500" w14:textId="77777777" w:rsidR="00C642F6" w:rsidRPr="008B6881" w:rsidRDefault="00C642F6" w:rsidP="00127934">
      <w:pPr>
        <w:pStyle w:val="NormalWeb"/>
        <w:numPr>
          <w:ilvl w:val="0"/>
          <w:numId w:val="112"/>
        </w:numPr>
        <w:rPr>
          <w:sz w:val="22"/>
          <w:szCs w:val="22"/>
        </w:rPr>
      </w:pPr>
      <w:r w:rsidRPr="008B6881">
        <w:rPr>
          <w:sz w:val="22"/>
          <w:szCs w:val="22"/>
        </w:rPr>
        <w:t xml:space="preserve">Q2 saw continued progress on offtake discussions with </w:t>
      </w:r>
      <w:r w:rsidRPr="008B6881">
        <w:rPr>
          <w:rStyle w:val="Strong"/>
          <w:rFonts w:eastAsiaTheme="majorEastAsia"/>
          <w:sz w:val="22"/>
          <w:szCs w:val="22"/>
        </w:rPr>
        <w:t>U.S. EV and battery manufacturers</w:t>
      </w:r>
      <w:r w:rsidRPr="008B6881">
        <w:rPr>
          <w:sz w:val="22"/>
          <w:szCs w:val="22"/>
        </w:rPr>
        <w:t>, with three NDAs converted to term sheet negotiations.</w:t>
      </w:r>
    </w:p>
    <w:p w14:paraId="4789DB5D" w14:textId="77777777" w:rsidR="00C642F6" w:rsidRPr="008B6881" w:rsidRDefault="00C642F6" w:rsidP="00127934">
      <w:pPr>
        <w:pStyle w:val="NormalWeb"/>
        <w:numPr>
          <w:ilvl w:val="0"/>
          <w:numId w:val="112"/>
        </w:numPr>
        <w:rPr>
          <w:sz w:val="22"/>
          <w:szCs w:val="22"/>
        </w:rPr>
      </w:pPr>
      <w:r w:rsidRPr="008B6881">
        <w:rPr>
          <w:sz w:val="22"/>
          <w:szCs w:val="22"/>
        </w:rPr>
        <w:t xml:space="preserve">Cash position improved to </w:t>
      </w:r>
      <w:r w:rsidRPr="008B6881">
        <w:rPr>
          <w:rStyle w:val="Strong"/>
          <w:rFonts w:eastAsiaTheme="majorEastAsia"/>
          <w:sz w:val="22"/>
          <w:szCs w:val="22"/>
        </w:rPr>
        <w:t>$35.2 million</w:t>
      </w:r>
      <w:r w:rsidRPr="008B6881">
        <w:rPr>
          <w:sz w:val="22"/>
          <w:szCs w:val="22"/>
        </w:rPr>
        <w:t xml:space="preserve">, sufficient to fund current construction and </w:t>
      </w:r>
      <w:proofErr w:type="gramStart"/>
      <w:r w:rsidRPr="008B6881">
        <w:rPr>
          <w:sz w:val="22"/>
          <w:szCs w:val="22"/>
        </w:rPr>
        <w:t>permitting</w:t>
      </w:r>
      <w:proofErr w:type="gramEnd"/>
      <w:r w:rsidRPr="008B6881">
        <w:rPr>
          <w:sz w:val="22"/>
          <w:szCs w:val="22"/>
        </w:rPr>
        <w:t xml:space="preserve"> milestones through mid-2026.</w:t>
      </w:r>
    </w:p>
    <w:p w14:paraId="0EB15AE0" w14:textId="77777777" w:rsidR="00C642F6" w:rsidRPr="008B6881" w:rsidRDefault="00C642F6" w:rsidP="00127934">
      <w:pPr>
        <w:pStyle w:val="NormalWeb"/>
        <w:numPr>
          <w:ilvl w:val="0"/>
          <w:numId w:val="112"/>
        </w:numPr>
        <w:rPr>
          <w:sz w:val="22"/>
          <w:szCs w:val="22"/>
        </w:rPr>
      </w:pPr>
      <w:r w:rsidRPr="008B6881">
        <w:rPr>
          <w:sz w:val="22"/>
          <w:szCs w:val="22"/>
        </w:rPr>
        <w:t xml:space="preserve">Westwater reiterated its strategic alignment with the </w:t>
      </w:r>
      <w:r w:rsidRPr="008B6881">
        <w:rPr>
          <w:rStyle w:val="Strong"/>
          <w:rFonts w:eastAsiaTheme="majorEastAsia"/>
          <w:sz w:val="22"/>
          <w:szCs w:val="22"/>
        </w:rPr>
        <w:t>DOE and DoD’s domestic critical minerals goals</w:t>
      </w:r>
      <w:r w:rsidRPr="008B6881">
        <w:rPr>
          <w:sz w:val="22"/>
          <w:szCs w:val="22"/>
        </w:rPr>
        <w:t>, positioning itself for potential grant or loan support under U.S. industrial policy frameworks.</w:t>
      </w:r>
    </w:p>
    <w:p w14:paraId="44F7FFEB" w14:textId="77777777" w:rsidR="00C642F6" w:rsidRPr="008B6881" w:rsidRDefault="00C642F6" w:rsidP="00C642F6">
      <w:pPr>
        <w:pStyle w:val="NormalWeb"/>
        <w:rPr>
          <w:sz w:val="22"/>
          <w:szCs w:val="22"/>
        </w:rPr>
      </w:pPr>
      <w:r w:rsidRPr="008B6881">
        <w:rPr>
          <w:rStyle w:val="Strong"/>
          <w:rFonts w:eastAsiaTheme="majorEastAsia"/>
          <w:sz w:val="22"/>
          <w:szCs w:val="22"/>
        </w:rPr>
        <w:t>Financial Highlights</w:t>
      </w:r>
    </w:p>
    <w:p w14:paraId="7921AB37" w14:textId="77777777" w:rsidR="00C642F6" w:rsidRPr="008B6881" w:rsidRDefault="00C642F6" w:rsidP="00127934">
      <w:pPr>
        <w:pStyle w:val="NormalWeb"/>
        <w:numPr>
          <w:ilvl w:val="0"/>
          <w:numId w:val="113"/>
        </w:numPr>
        <w:rPr>
          <w:sz w:val="22"/>
          <w:szCs w:val="22"/>
        </w:rPr>
      </w:pPr>
      <w:r w:rsidRPr="008B6881">
        <w:rPr>
          <w:rStyle w:val="Strong"/>
          <w:rFonts w:eastAsiaTheme="majorEastAsia"/>
          <w:sz w:val="22"/>
          <w:szCs w:val="22"/>
        </w:rPr>
        <w:t>Operating expenses</w:t>
      </w:r>
      <w:r w:rsidRPr="008B6881">
        <w:rPr>
          <w:sz w:val="22"/>
          <w:szCs w:val="22"/>
        </w:rPr>
        <w:t>: $3.4 million in Q2 (vs. $2.9M in Q1), reflecting ramp-up in construction oversight, legal, and permitting costs.</w:t>
      </w:r>
    </w:p>
    <w:p w14:paraId="1BB25CD0" w14:textId="77777777" w:rsidR="00C642F6" w:rsidRPr="008B6881" w:rsidRDefault="00C642F6" w:rsidP="00127934">
      <w:pPr>
        <w:pStyle w:val="NormalWeb"/>
        <w:numPr>
          <w:ilvl w:val="0"/>
          <w:numId w:val="113"/>
        </w:numPr>
        <w:rPr>
          <w:sz w:val="22"/>
          <w:szCs w:val="22"/>
        </w:rPr>
      </w:pPr>
      <w:r w:rsidRPr="008B6881">
        <w:rPr>
          <w:rStyle w:val="Strong"/>
          <w:rFonts w:eastAsiaTheme="majorEastAsia"/>
          <w:sz w:val="22"/>
          <w:szCs w:val="22"/>
        </w:rPr>
        <w:t>Net loss</w:t>
      </w:r>
      <w:r w:rsidRPr="008B6881">
        <w:rPr>
          <w:sz w:val="22"/>
          <w:szCs w:val="22"/>
        </w:rPr>
        <w:t xml:space="preserve">: $3.6 million or </w:t>
      </w:r>
      <w:r w:rsidRPr="008B6881">
        <w:rPr>
          <w:rStyle w:val="Strong"/>
          <w:rFonts w:eastAsiaTheme="majorEastAsia"/>
          <w:sz w:val="22"/>
          <w:szCs w:val="22"/>
        </w:rPr>
        <w:t>$0.03/share</w:t>
      </w:r>
      <w:r w:rsidRPr="008B6881">
        <w:rPr>
          <w:sz w:val="22"/>
          <w:szCs w:val="22"/>
        </w:rPr>
        <w:t>, in line with expectations.</w:t>
      </w:r>
    </w:p>
    <w:p w14:paraId="249F468B" w14:textId="77777777" w:rsidR="00C642F6" w:rsidRPr="008B6881" w:rsidRDefault="00C642F6" w:rsidP="00127934">
      <w:pPr>
        <w:pStyle w:val="NormalWeb"/>
        <w:numPr>
          <w:ilvl w:val="0"/>
          <w:numId w:val="113"/>
        </w:numPr>
        <w:rPr>
          <w:sz w:val="22"/>
          <w:szCs w:val="22"/>
        </w:rPr>
      </w:pPr>
      <w:r w:rsidRPr="008B6881">
        <w:rPr>
          <w:rStyle w:val="Strong"/>
          <w:rFonts w:eastAsiaTheme="majorEastAsia"/>
          <w:sz w:val="22"/>
          <w:szCs w:val="22"/>
        </w:rPr>
        <w:t>Cash and equivalents</w:t>
      </w:r>
      <w:r w:rsidRPr="008B6881">
        <w:rPr>
          <w:sz w:val="22"/>
          <w:szCs w:val="22"/>
        </w:rPr>
        <w:t>: $35.2 million as of June 30, 2025.</w:t>
      </w:r>
    </w:p>
    <w:p w14:paraId="0D621811" w14:textId="77777777" w:rsidR="00C642F6" w:rsidRPr="008B6881" w:rsidRDefault="00C642F6" w:rsidP="00127934">
      <w:pPr>
        <w:pStyle w:val="NormalWeb"/>
        <w:numPr>
          <w:ilvl w:val="0"/>
          <w:numId w:val="113"/>
        </w:numPr>
        <w:rPr>
          <w:sz w:val="22"/>
          <w:szCs w:val="22"/>
        </w:rPr>
      </w:pPr>
      <w:proofErr w:type="spellStart"/>
      <w:r w:rsidRPr="008B6881">
        <w:rPr>
          <w:rStyle w:val="Strong"/>
          <w:rFonts w:eastAsiaTheme="majorEastAsia"/>
          <w:sz w:val="22"/>
          <w:szCs w:val="22"/>
        </w:rPr>
        <w:lastRenderedPageBreak/>
        <w:t>CapEx</w:t>
      </w:r>
      <w:proofErr w:type="spellEnd"/>
      <w:r w:rsidRPr="008B6881">
        <w:rPr>
          <w:rStyle w:val="Strong"/>
          <w:rFonts w:eastAsiaTheme="majorEastAsia"/>
          <w:sz w:val="22"/>
          <w:szCs w:val="22"/>
        </w:rPr>
        <w:t xml:space="preserve"> deployed</w:t>
      </w:r>
      <w:r w:rsidRPr="008B6881">
        <w:rPr>
          <w:sz w:val="22"/>
          <w:szCs w:val="22"/>
        </w:rPr>
        <w:t xml:space="preserve">: $7.8 million in Q2; total of </w:t>
      </w:r>
      <w:r w:rsidRPr="008B6881">
        <w:rPr>
          <w:rStyle w:val="Strong"/>
          <w:rFonts w:eastAsiaTheme="majorEastAsia"/>
          <w:sz w:val="22"/>
          <w:szCs w:val="22"/>
        </w:rPr>
        <w:t>$65.3 million</w:t>
      </w:r>
      <w:r w:rsidRPr="008B6881">
        <w:rPr>
          <w:sz w:val="22"/>
          <w:szCs w:val="22"/>
        </w:rPr>
        <w:t xml:space="preserve"> invested to date in the </w:t>
      </w:r>
      <w:proofErr w:type="spellStart"/>
      <w:r w:rsidRPr="008B6881">
        <w:rPr>
          <w:rStyle w:val="Strong"/>
          <w:rFonts w:eastAsiaTheme="majorEastAsia"/>
          <w:sz w:val="22"/>
          <w:szCs w:val="22"/>
        </w:rPr>
        <w:t>Kellyton</w:t>
      </w:r>
      <w:proofErr w:type="spellEnd"/>
      <w:r w:rsidRPr="008B6881">
        <w:rPr>
          <w:rStyle w:val="Strong"/>
          <w:rFonts w:eastAsiaTheme="majorEastAsia"/>
          <w:sz w:val="22"/>
          <w:szCs w:val="22"/>
        </w:rPr>
        <w:t xml:space="preserve"> facility</w:t>
      </w:r>
      <w:r w:rsidRPr="008B6881">
        <w:rPr>
          <w:sz w:val="22"/>
          <w:szCs w:val="22"/>
        </w:rPr>
        <w:t>.</w:t>
      </w:r>
    </w:p>
    <w:p w14:paraId="0742084A" w14:textId="77777777" w:rsidR="00C642F6" w:rsidRPr="008B6881" w:rsidRDefault="00C642F6" w:rsidP="00127934">
      <w:pPr>
        <w:pStyle w:val="NormalWeb"/>
        <w:numPr>
          <w:ilvl w:val="0"/>
          <w:numId w:val="113"/>
        </w:numPr>
        <w:rPr>
          <w:sz w:val="22"/>
          <w:szCs w:val="22"/>
        </w:rPr>
      </w:pPr>
      <w:r w:rsidRPr="008B6881">
        <w:rPr>
          <w:sz w:val="22"/>
          <w:szCs w:val="22"/>
        </w:rPr>
        <w:t>No revenue recognized yet, as operations remain pre-commercial.</w:t>
      </w:r>
    </w:p>
    <w:p w14:paraId="0B44B6A2" w14:textId="77777777" w:rsidR="00C642F6" w:rsidRPr="008B6881" w:rsidRDefault="00C642F6" w:rsidP="00C642F6">
      <w:pPr>
        <w:pStyle w:val="NormalWeb"/>
        <w:rPr>
          <w:sz w:val="22"/>
          <w:szCs w:val="22"/>
        </w:rPr>
      </w:pPr>
      <w:r w:rsidRPr="008B6881">
        <w:rPr>
          <w:rStyle w:val="Strong"/>
          <w:rFonts w:eastAsiaTheme="majorEastAsia"/>
          <w:sz w:val="22"/>
          <w:szCs w:val="22"/>
        </w:rPr>
        <w:t>Operational Highlights</w:t>
      </w:r>
    </w:p>
    <w:p w14:paraId="661F1DB8" w14:textId="77777777" w:rsidR="00C642F6" w:rsidRPr="008B6881" w:rsidRDefault="00C642F6" w:rsidP="00127934">
      <w:pPr>
        <w:pStyle w:val="NormalWeb"/>
        <w:numPr>
          <w:ilvl w:val="0"/>
          <w:numId w:val="114"/>
        </w:numPr>
        <w:rPr>
          <w:sz w:val="22"/>
          <w:szCs w:val="22"/>
        </w:rPr>
      </w:pPr>
      <w:proofErr w:type="spellStart"/>
      <w:r w:rsidRPr="008B6881">
        <w:rPr>
          <w:rStyle w:val="Strong"/>
          <w:rFonts w:eastAsiaTheme="majorEastAsia"/>
          <w:sz w:val="22"/>
          <w:szCs w:val="22"/>
        </w:rPr>
        <w:t>Kellyton</w:t>
      </w:r>
      <w:proofErr w:type="spellEnd"/>
      <w:r w:rsidRPr="008B6881">
        <w:rPr>
          <w:rStyle w:val="Strong"/>
          <w:rFonts w:eastAsiaTheme="majorEastAsia"/>
          <w:sz w:val="22"/>
          <w:szCs w:val="22"/>
        </w:rPr>
        <w:t>, Alabama Graphite Processing Plant</w:t>
      </w:r>
      <w:r w:rsidRPr="008B6881">
        <w:rPr>
          <w:sz w:val="22"/>
          <w:szCs w:val="22"/>
        </w:rPr>
        <w:t>:</w:t>
      </w:r>
    </w:p>
    <w:p w14:paraId="52C416E0" w14:textId="77777777" w:rsidR="00C642F6" w:rsidRPr="008B6881" w:rsidRDefault="00C642F6" w:rsidP="00127934">
      <w:pPr>
        <w:pStyle w:val="NormalWeb"/>
        <w:numPr>
          <w:ilvl w:val="1"/>
          <w:numId w:val="114"/>
        </w:numPr>
        <w:rPr>
          <w:sz w:val="22"/>
          <w:szCs w:val="22"/>
        </w:rPr>
      </w:pPr>
      <w:r w:rsidRPr="008B6881">
        <w:rPr>
          <w:sz w:val="22"/>
          <w:szCs w:val="22"/>
        </w:rPr>
        <w:t xml:space="preserve">Construction </w:t>
      </w:r>
      <w:proofErr w:type="gramStart"/>
      <w:r w:rsidRPr="008B6881">
        <w:rPr>
          <w:sz w:val="22"/>
          <w:szCs w:val="22"/>
        </w:rPr>
        <w:t>now</w:t>
      </w:r>
      <w:proofErr w:type="gramEnd"/>
      <w:r w:rsidRPr="008B6881">
        <w:rPr>
          <w:sz w:val="22"/>
          <w:szCs w:val="22"/>
        </w:rPr>
        <w:t xml:space="preserve"> </w:t>
      </w:r>
      <w:r w:rsidRPr="008B6881">
        <w:rPr>
          <w:rStyle w:val="Strong"/>
          <w:rFonts w:eastAsiaTheme="majorEastAsia"/>
          <w:sz w:val="22"/>
          <w:szCs w:val="22"/>
        </w:rPr>
        <w:t>80% complete</w:t>
      </w:r>
      <w:r w:rsidRPr="008B6881">
        <w:rPr>
          <w:sz w:val="22"/>
          <w:szCs w:val="22"/>
        </w:rPr>
        <w:t xml:space="preserve">; mechanical completion shifted to </w:t>
      </w:r>
      <w:r w:rsidRPr="008B6881">
        <w:rPr>
          <w:rStyle w:val="Strong"/>
          <w:rFonts w:eastAsiaTheme="majorEastAsia"/>
          <w:sz w:val="22"/>
          <w:szCs w:val="22"/>
        </w:rPr>
        <w:t>Q1 2026</w:t>
      </w:r>
      <w:r w:rsidRPr="008B6881">
        <w:rPr>
          <w:sz w:val="22"/>
          <w:szCs w:val="22"/>
        </w:rPr>
        <w:t xml:space="preserve"> (previously Q4 2025).</w:t>
      </w:r>
    </w:p>
    <w:p w14:paraId="47AE72F4" w14:textId="77777777" w:rsidR="00C642F6" w:rsidRPr="008B6881" w:rsidRDefault="00C642F6" w:rsidP="00127934">
      <w:pPr>
        <w:pStyle w:val="NormalWeb"/>
        <w:numPr>
          <w:ilvl w:val="1"/>
          <w:numId w:val="114"/>
        </w:numPr>
        <w:rPr>
          <w:sz w:val="22"/>
          <w:szCs w:val="22"/>
        </w:rPr>
      </w:pPr>
      <w:r w:rsidRPr="008B6881">
        <w:rPr>
          <w:sz w:val="22"/>
          <w:szCs w:val="22"/>
        </w:rPr>
        <w:t>Equipment delays related to specialty furnace systems and post-purification filters caused revised schedule.</w:t>
      </w:r>
    </w:p>
    <w:p w14:paraId="0A7CE3D8" w14:textId="77777777" w:rsidR="00C642F6" w:rsidRPr="008B6881" w:rsidRDefault="00C642F6" w:rsidP="00127934">
      <w:pPr>
        <w:pStyle w:val="NormalWeb"/>
        <w:numPr>
          <w:ilvl w:val="1"/>
          <w:numId w:val="114"/>
        </w:numPr>
        <w:rPr>
          <w:sz w:val="22"/>
          <w:szCs w:val="22"/>
        </w:rPr>
      </w:pPr>
      <w:r w:rsidRPr="008B6881">
        <w:rPr>
          <w:sz w:val="22"/>
          <w:szCs w:val="22"/>
        </w:rPr>
        <w:t xml:space="preserve">Facility will process </w:t>
      </w:r>
      <w:r w:rsidRPr="008B6881">
        <w:rPr>
          <w:rStyle w:val="Strong"/>
          <w:rFonts w:eastAsiaTheme="majorEastAsia"/>
          <w:sz w:val="22"/>
          <w:szCs w:val="22"/>
        </w:rPr>
        <w:t>natural flake graphite concentrate</w:t>
      </w:r>
      <w:r w:rsidRPr="008B6881">
        <w:rPr>
          <w:sz w:val="22"/>
          <w:szCs w:val="22"/>
        </w:rPr>
        <w:t xml:space="preserve"> into battery-grade anode material.</w:t>
      </w:r>
    </w:p>
    <w:p w14:paraId="743D89D7" w14:textId="77777777" w:rsidR="00C642F6" w:rsidRPr="008B6881" w:rsidRDefault="00C642F6" w:rsidP="00127934">
      <w:pPr>
        <w:pStyle w:val="NormalWeb"/>
        <w:numPr>
          <w:ilvl w:val="1"/>
          <w:numId w:val="114"/>
        </w:numPr>
        <w:rPr>
          <w:sz w:val="22"/>
          <w:szCs w:val="22"/>
        </w:rPr>
      </w:pPr>
      <w:r w:rsidRPr="008B6881">
        <w:rPr>
          <w:sz w:val="22"/>
          <w:szCs w:val="22"/>
        </w:rPr>
        <w:t xml:space="preserve">Designed nameplate capacity: </w:t>
      </w:r>
      <w:r w:rsidRPr="008B6881">
        <w:rPr>
          <w:rStyle w:val="Strong"/>
          <w:rFonts w:eastAsiaTheme="majorEastAsia"/>
          <w:sz w:val="22"/>
          <w:szCs w:val="22"/>
        </w:rPr>
        <w:t>7,500 metric tons per year (TPY)</w:t>
      </w:r>
      <w:r w:rsidRPr="008B6881">
        <w:rPr>
          <w:sz w:val="22"/>
          <w:szCs w:val="22"/>
        </w:rPr>
        <w:t xml:space="preserve"> of purified spherical graphite (PSG).</w:t>
      </w:r>
    </w:p>
    <w:p w14:paraId="77DDFC08" w14:textId="77777777" w:rsidR="00C642F6" w:rsidRPr="008B6881" w:rsidRDefault="00C642F6" w:rsidP="00127934">
      <w:pPr>
        <w:pStyle w:val="NormalWeb"/>
        <w:numPr>
          <w:ilvl w:val="1"/>
          <w:numId w:val="114"/>
        </w:numPr>
        <w:rPr>
          <w:sz w:val="22"/>
          <w:szCs w:val="22"/>
        </w:rPr>
      </w:pPr>
      <w:r w:rsidRPr="008B6881">
        <w:rPr>
          <w:sz w:val="22"/>
          <w:szCs w:val="22"/>
        </w:rPr>
        <w:t xml:space="preserve">Site teams are working 2 shifts per day; final roof structure and all major mechanical systems </w:t>
      </w:r>
      <w:proofErr w:type="gramStart"/>
      <w:r w:rsidRPr="008B6881">
        <w:rPr>
          <w:sz w:val="22"/>
          <w:szCs w:val="22"/>
        </w:rPr>
        <w:t>now</w:t>
      </w:r>
      <w:proofErr w:type="gramEnd"/>
      <w:r w:rsidRPr="008B6881">
        <w:rPr>
          <w:sz w:val="22"/>
          <w:szCs w:val="22"/>
        </w:rPr>
        <w:t xml:space="preserve"> installed.</w:t>
      </w:r>
    </w:p>
    <w:p w14:paraId="1A1AB3B9" w14:textId="77777777" w:rsidR="00C642F6" w:rsidRPr="008B6881" w:rsidRDefault="00C642F6" w:rsidP="00127934">
      <w:pPr>
        <w:pStyle w:val="NormalWeb"/>
        <w:numPr>
          <w:ilvl w:val="1"/>
          <w:numId w:val="114"/>
        </w:numPr>
        <w:rPr>
          <w:sz w:val="22"/>
          <w:szCs w:val="22"/>
        </w:rPr>
      </w:pPr>
      <w:r w:rsidRPr="008B6881">
        <w:rPr>
          <w:sz w:val="22"/>
          <w:szCs w:val="22"/>
        </w:rPr>
        <w:t>Early-stage commissioning of dry handling systems began in June 2025.</w:t>
      </w:r>
    </w:p>
    <w:p w14:paraId="0D6D7A94" w14:textId="77777777" w:rsidR="00C642F6" w:rsidRPr="008B6881" w:rsidRDefault="00C642F6" w:rsidP="00127934">
      <w:pPr>
        <w:pStyle w:val="NormalWeb"/>
        <w:numPr>
          <w:ilvl w:val="0"/>
          <w:numId w:val="114"/>
        </w:numPr>
        <w:rPr>
          <w:sz w:val="22"/>
          <w:szCs w:val="22"/>
        </w:rPr>
      </w:pPr>
      <w:r w:rsidRPr="008B6881">
        <w:rPr>
          <w:rStyle w:val="Strong"/>
          <w:rFonts w:eastAsiaTheme="majorEastAsia"/>
          <w:sz w:val="22"/>
          <w:szCs w:val="22"/>
        </w:rPr>
        <w:t>Coosa Graphite Deposit (Coosa County, AL)</w:t>
      </w:r>
      <w:r w:rsidRPr="008B6881">
        <w:rPr>
          <w:sz w:val="22"/>
          <w:szCs w:val="22"/>
        </w:rPr>
        <w:t>:</w:t>
      </w:r>
    </w:p>
    <w:p w14:paraId="3C044659" w14:textId="77777777" w:rsidR="00C642F6" w:rsidRPr="008B6881" w:rsidRDefault="00C642F6" w:rsidP="00127934">
      <w:pPr>
        <w:pStyle w:val="NormalWeb"/>
        <w:numPr>
          <w:ilvl w:val="1"/>
          <w:numId w:val="114"/>
        </w:numPr>
        <w:rPr>
          <w:sz w:val="22"/>
          <w:szCs w:val="22"/>
        </w:rPr>
      </w:pPr>
      <w:r w:rsidRPr="008B6881">
        <w:rPr>
          <w:sz w:val="22"/>
          <w:szCs w:val="22"/>
        </w:rPr>
        <w:t xml:space="preserve">Drilling and metallurgical work </w:t>
      </w:r>
      <w:proofErr w:type="gramStart"/>
      <w:r w:rsidRPr="008B6881">
        <w:rPr>
          <w:sz w:val="22"/>
          <w:szCs w:val="22"/>
        </w:rPr>
        <w:t>ongoing</w:t>
      </w:r>
      <w:proofErr w:type="gramEnd"/>
      <w:r w:rsidRPr="008B6881">
        <w:rPr>
          <w:sz w:val="22"/>
          <w:szCs w:val="22"/>
        </w:rPr>
        <w:t xml:space="preserve"> to update 2021 resource estimate and finalize </w:t>
      </w:r>
      <w:proofErr w:type="gramStart"/>
      <w:r w:rsidRPr="008B6881">
        <w:rPr>
          <w:sz w:val="22"/>
          <w:szCs w:val="22"/>
        </w:rPr>
        <w:t>mine</w:t>
      </w:r>
      <w:proofErr w:type="gramEnd"/>
      <w:r w:rsidRPr="008B6881">
        <w:rPr>
          <w:sz w:val="22"/>
          <w:szCs w:val="22"/>
        </w:rPr>
        <w:t xml:space="preserve"> plan.</w:t>
      </w:r>
    </w:p>
    <w:p w14:paraId="0B0BA239" w14:textId="77777777" w:rsidR="00C642F6" w:rsidRPr="008B6881" w:rsidRDefault="00C642F6" w:rsidP="00127934">
      <w:pPr>
        <w:pStyle w:val="NormalWeb"/>
        <w:numPr>
          <w:ilvl w:val="1"/>
          <w:numId w:val="114"/>
        </w:numPr>
        <w:rPr>
          <w:sz w:val="22"/>
          <w:szCs w:val="22"/>
        </w:rPr>
      </w:pPr>
      <w:r w:rsidRPr="008B6881">
        <w:rPr>
          <w:sz w:val="22"/>
          <w:szCs w:val="22"/>
        </w:rPr>
        <w:t xml:space="preserve">Updated NI 43-101 resource estimate expected in </w:t>
      </w:r>
      <w:r w:rsidRPr="008B6881">
        <w:rPr>
          <w:rStyle w:val="Strong"/>
          <w:rFonts w:eastAsiaTheme="majorEastAsia"/>
          <w:sz w:val="22"/>
          <w:szCs w:val="22"/>
        </w:rPr>
        <w:t>H1 2026</w:t>
      </w:r>
      <w:r w:rsidRPr="008B6881">
        <w:rPr>
          <w:sz w:val="22"/>
          <w:szCs w:val="22"/>
        </w:rPr>
        <w:t>.</w:t>
      </w:r>
    </w:p>
    <w:p w14:paraId="585B08AC" w14:textId="77777777" w:rsidR="00C642F6" w:rsidRPr="008B6881" w:rsidRDefault="00C642F6" w:rsidP="00127934">
      <w:pPr>
        <w:pStyle w:val="NormalWeb"/>
        <w:numPr>
          <w:ilvl w:val="1"/>
          <w:numId w:val="114"/>
        </w:numPr>
        <w:rPr>
          <w:sz w:val="22"/>
          <w:szCs w:val="22"/>
        </w:rPr>
      </w:pPr>
      <w:r w:rsidRPr="008B6881">
        <w:rPr>
          <w:sz w:val="22"/>
          <w:szCs w:val="22"/>
        </w:rPr>
        <w:t xml:space="preserve">Environmental baseline work progressing; engagement with </w:t>
      </w:r>
      <w:r w:rsidRPr="008B6881">
        <w:rPr>
          <w:rStyle w:val="Strong"/>
          <w:rFonts w:eastAsiaTheme="majorEastAsia"/>
          <w:sz w:val="22"/>
          <w:szCs w:val="22"/>
        </w:rPr>
        <w:t>Alabama Department of Environmental Management (ADEM)</w:t>
      </w:r>
      <w:r w:rsidRPr="008B6881">
        <w:rPr>
          <w:sz w:val="22"/>
          <w:szCs w:val="22"/>
        </w:rPr>
        <w:t xml:space="preserve"> and U.S. Forest Service ongoing.</w:t>
      </w:r>
    </w:p>
    <w:p w14:paraId="37688F84" w14:textId="77777777" w:rsidR="00C642F6" w:rsidRPr="008B6881" w:rsidRDefault="00C642F6" w:rsidP="00127934">
      <w:pPr>
        <w:pStyle w:val="NormalWeb"/>
        <w:numPr>
          <w:ilvl w:val="1"/>
          <w:numId w:val="114"/>
        </w:numPr>
        <w:rPr>
          <w:sz w:val="22"/>
          <w:szCs w:val="22"/>
        </w:rPr>
      </w:pPr>
      <w:r w:rsidRPr="008B6881">
        <w:rPr>
          <w:sz w:val="22"/>
          <w:szCs w:val="22"/>
        </w:rPr>
        <w:t xml:space="preserve">Coosa expected to provide natural flake feedstock for </w:t>
      </w:r>
      <w:proofErr w:type="spellStart"/>
      <w:r w:rsidRPr="008B6881">
        <w:rPr>
          <w:sz w:val="22"/>
          <w:szCs w:val="22"/>
        </w:rPr>
        <w:t>Kellyton</w:t>
      </w:r>
      <w:proofErr w:type="spellEnd"/>
      <w:r w:rsidRPr="008B6881">
        <w:rPr>
          <w:sz w:val="22"/>
          <w:szCs w:val="22"/>
        </w:rPr>
        <w:t xml:space="preserve"> plant long-term (after current third-party supply agreements expire).</w:t>
      </w:r>
    </w:p>
    <w:p w14:paraId="41569D69" w14:textId="77777777" w:rsidR="00C642F6" w:rsidRPr="008B6881" w:rsidRDefault="00C642F6" w:rsidP="00127934">
      <w:pPr>
        <w:pStyle w:val="NormalWeb"/>
        <w:numPr>
          <w:ilvl w:val="1"/>
          <w:numId w:val="114"/>
        </w:numPr>
        <w:rPr>
          <w:sz w:val="22"/>
          <w:szCs w:val="22"/>
        </w:rPr>
      </w:pPr>
      <w:r w:rsidRPr="008B6881">
        <w:rPr>
          <w:sz w:val="22"/>
          <w:szCs w:val="22"/>
        </w:rPr>
        <w:t xml:space="preserve">Key step in becoming a </w:t>
      </w:r>
      <w:r w:rsidRPr="008B6881">
        <w:rPr>
          <w:rStyle w:val="Strong"/>
          <w:rFonts w:eastAsiaTheme="majorEastAsia"/>
          <w:sz w:val="22"/>
          <w:szCs w:val="22"/>
        </w:rPr>
        <w:t>fully domestic, vertically integrated anode materials producer</w:t>
      </w:r>
      <w:r w:rsidRPr="008B6881">
        <w:rPr>
          <w:sz w:val="22"/>
          <w:szCs w:val="22"/>
        </w:rPr>
        <w:t>.</w:t>
      </w:r>
    </w:p>
    <w:p w14:paraId="32E1928C" w14:textId="77777777" w:rsidR="00C642F6" w:rsidRPr="008B6881" w:rsidRDefault="00C642F6" w:rsidP="00C642F6">
      <w:pPr>
        <w:pStyle w:val="NormalWeb"/>
        <w:rPr>
          <w:sz w:val="22"/>
          <w:szCs w:val="22"/>
        </w:rPr>
      </w:pPr>
      <w:r w:rsidRPr="008B6881">
        <w:rPr>
          <w:rStyle w:val="Strong"/>
          <w:rFonts w:eastAsiaTheme="majorEastAsia"/>
          <w:sz w:val="22"/>
          <w:szCs w:val="22"/>
        </w:rPr>
        <w:t>Business Expansions &amp; Capital Expenditure Plans</w:t>
      </w:r>
    </w:p>
    <w:p w14:paraId="12BFD0B1" w14:textId="77777777" w:rsidR="00C642F6" w:rsidRPr="008B6881" w:rsidRDefault="00C642F6" w:rsidP="00127934">
      <w:pPr>
        <w:pStyle w:val="NormalWeb"/>
        <w:numPr>
          <w:ilvl w:val="0"/>
          <w:numId w:val="115"/>
        </w:numPr>
        <w:rPr>
          <w:sz w:val="22"/>
          <w:szCs w:val="22"/>
        </w:rPr>
      </w:pPr>
      <w:r w:rsidRPr="008B6881">
        <w:rPr>
          <w:rStyle w:val="Strong"/>
          <w:rFonts w:eastAsiaTheme="majorEastAsia"/>
          <w:sz w:val="22"/>
          <w:szCs w:val="22"/>
        </w:rPr>
        <w:t xml:space="preserve">Full project </w:t>
      </w:r>
      <w:proofErr w:type="spellStart"/>
      <w:r w:rsidRPr="008B6881">
        <w:rPr>
          <w:rStyle w:val="Strong"/>
          <w:rFonts w:eastAsiaTheme="majorEastAsia"/>
          <w:sz w:val="22"/>
          <w:szCs w:val="22"/>
        </w:rPr>
        <w:t>CapEx</w:t>
      </w:r>
      <w:proofErr w:type="spellEnd"/>
      <w:r w:rsidRPr="008B6881">
        <w:rPr>
          <w:rStyle w:val="Strong"/>
          <w:rFonts w:eastAsiaTheme="majorEastAsia"/>
          <w:sz w:val="22"/>
          <w:szCs w:val="22"/>
        </w:rPr>
        <w:t xml:space="preserve"> for </w:t>
      </w:r>
      <w:proofErr w:type="spellStart"/>
      <w:r w:rsidRPr="008B6881">
        <w:rPr>
          <w:rStyle w:val="Strong"/>
          <w:rFonts w:eastAsiaTheme="majorEastAsia"/>
          <w:sz w:val="22"/>
          <w:szCs w:val="22"/>
        </w:rPr>
        <w:t>Kellyton</w:t>
      </w:r>
      <w:proofErr w:type="spellEnd"/>
      <w:r w:rsidRPr="008B6881">
        <w:rPr>
          <w:sz w:val="22"/>
          <w:szCs w:val="22"/>
        </w:rPr>
        <w:t xml:space="preserve"> remains estimated at </w:t>
      </w:r>
      <w:r w:rsidRPr="008B6881">
        <w:rPr>
          <w:rStyle w:val="Strong"/>
          <w:rFonts w:eastAsiaTheme="majorEastAsia"/>
          <w:sz w:val="22"/>
          <w:szCs w:val="22"/>
        </w:rPr>
        <w:t>$145–150 million</w:t>
      </w:r>
      <w:r w:rsidRPr="008B6881">
        <w:rPr>
          <w:sz w:val="22"/>
          <w:szCs w:val="22"/>
        </w:rPr>
        <w:t>, with ~$65 million spent to date.</w:t>
      </w:r>
    </w:p>
    <w:p w14:paraId="63B5C2E2" w14:textId="77777777" w:rsidR="00C642F6" w:rsidRPr="008B6881" w:rsidRDefault="00C642F6" w:rsidP="00127934">
      <w:pPr>
        <w:pStyle w:val="NormalWeb"/>
        <w:numPr>
          <w:ilvl w:val="0"/>
          <w:numId w:val="115"/>
        </w:numPr>
        <w:rPr>
          <w:sz w:val="22"/>
          <w:szCs w:val="22"/>
        </w:rPr>
      </w:pPr>
      <w:proofErr w:type="spellStart"/>
      <w:r w:rsidRPr="008B6881">
        <w:rPr>
          <w:sz w:val="22"/>
          <w:szCs w:val="22"/>
        </w:rPr>
        <w:t>CapEx</w:t>
      </w:r>
      <w:proofErr w:type="spellEnd"/>
      <w:r w:rsidRPr="008B6881">
        <w:rPr>
          <w:sz w:val="22"/>
          <w:szCs w:val="22"/>
        </w:rPr>
        <w:t xml:space="preserve"> priorities:</w:t>
      </w:r>
    </w:p>
    <w:p w14:paraId="4F0234DD" w14:textId="77777777" w:rsidR="00C642F6" w:rsidRPr="008B6881" w:rsidRDefault="00C642F6" w:rsidP="00127934">
      <w:pPr>
        <w:pStyle w:val="NormalWeb"/>
        <w:numPr>
          <w:ilvl w:val="1"/>
          <w:numId w:val="115"/>
        </w:numPr>
        <w:rPr>
          <w:sz w:val="22"/>
          <w:szCs w:val="22"/>
        </w:rPr>
      </w:pPr>
      <w:r w:rsidRPr="008B6881">
        <w:rPr>
          <w:sz w:val="22"/>
          <w:szCs w:val="22"/>
        </w:rPr>
        <w:t>Final system integration</w:t>
      </w:r>
    </w:p>
    <w:p w14:paraId="22B2D72E" w14:textId="77777777" w:rsidR="00C642F6" w:rsidRPr="008B6881" w:rsidRDefault="00C642F6" w:rsidP="00127934">
      <w:pPr>
        <w:pStyle w:val="NormalWeb"/>
        <w:numPr>
          <w:ilvl w:val="1"/>
          <w:numId w:val="115"/>
        </w:numPr>
        <w:rPr>
          <w:sz w:val="22"/>
          <w:szCs w:val="22"/>
        </w:rPr>
      </w:pPr>
      <w:r w:rsidRPr="008B6881">
        <w:rPr>
          <w:sz w:val="22"/>
          <w:szCs w:val="22"/>
        </w:rPr>
        <w:t>Automation controls and commissioning</w:t>
      </w:r>
    </w:p>
    <w:p w14:paraId="41F5D1D5" w14:textId="77777777" w:rsidR="00C642F6" w:rsidRPr="008B6881" w:rsidRDefault="00C642F6" w:rsidP="00127934">
      <w:pPr>
        <w:pStyle w:val="NormalWeb"/>
        <w:numPr>
          <w:ilvl w:val="1"/>
          <w:numId w:val="115"/>
        </w:numPr>
        <w:rPr>
          <w:sz w:val="22"/>
          <w:szCs w:val="22"/>
        </w:rPr>
      </w:pPr>
      <w:r w:rsidRPr="008B6881">
        <w:rPr>
          <w:sz w:val="22"/>
          <w:szCs w:val="22"/>
        </w:rPr>
        <w:t>Laboratory and QA/QC equipment installation</w:t>
      </w:r>
    </w:p>
    <w:p w14:paraId="0E7FB538" w14:textId="77777777" w:rsidR="00C642F6" w:rsidRPr="008B6881" w:rsidRDefault="00C642F6" w:rsidP="00127934">
      <w:pPr>
        <w:pStyle w:val="NormalWeb"/>
        <w:numPr>
          <w:ilvl w:val="0"/>
          <w:numId w:val="115"/>
        </w:numPr>
        <w:rPr>
          <w:sz w:val="22"/>
          <w:szCs w:val="22"/>
        </w:rPr>
      </w:pPr>
      <w:r w:rsidRPr="008B6881">
        <w:rPr>
          <w:sz w:val="22"/>
          <w:szCs w:val="22"/>
        </w:rPr>
        <w:t xml:space="preserve">Westwater applied for </w:t>
      </w:r>
      <w:r w:rsidRPr="008B6881">
        <w:rPr>
          <w:rStyle w:val="Strong"/>
          <w:rFonts w:eastAsiaTheme="majorEastAsia"/>
          <w:sz w:val="22"/>
          <w:szCs w:val="22"/>
        </w:rPr>
        <w:t>DOE and DoD funding</w:t>
      </w:r>
      <w:r w:rsidRPr="008B6881">
        <w:rPr>
          <w:sz w:val="22"/>
          <w:szCs w:val="22"/>
        </w:rPr>
        <w:t xml:space="preserve"> under the Bipartisan Infrastructure Law and Defense Production Act programs; award announcements expected in late 2025 or early 2026.</w:t>
      </w:r>
    </w:p>
    <w:p w14:paraId="5457DAD7" w14:textId="77777777" w:rsidR="00C642F6" w:rsidRPr="008B6881" w:rsidRDefault="00C642F6" w:rsidP="00127934">
      <w:pPr>
        <w:pStyle w:val="NormalWeb"/>
        <w:numPr>
          <w:ilvl w:val="0"/>
          <w:numId w:val="115"/>
        </w:numPr>
        <w:rPr>
          <w:sz w:val="22"/>
          <w:szCs w:val="22"/>
        </w:rPr>
      </w:pPr>
      <w:r w:rsidRPr="008B6881">
        <w:rPr>
          <w:sz w:val="22"/>
          <w:szCs w:val="22"/>
        </w:rPr>
        <w:t xml:space="preserve">Management indicated possible </w:t>
      </w:r>
      <w:r w:rsidRPr="008B6881">
        <w:rPr>
          <w:rStyle w:val="Strong"/>
          <w:rFonts w:eastAsiaTheme="majorEastAsia"/>
          <w:sz w:val="22"/>
          <w:szCs w:val="22"/>
        </w:rPr>
        <w:t>phase-two expansion</w:t>
      </w:r>
      <w:r w:rsidRPr="008B6881">
        <w:rPr>
          <w:sz w:val="22"/>
          <w:szCs w:val="22"/>
        </w:rPr>
        <w:t xml:space="preserve"> at </w:t>
      </w:r>
      <w:proofErr w:type="spellStart"/>
      <w:r w:rsidRPr="008B6881">
        <w:rPr>
          <w:sz w:val="22"/>
          <w:szCs w:val="22"/>
        </w:rPr>
        <w:t>Kellyton</w:t>
      </w:r>
      <w:proofErr w:type="spellEnd"/>
      <w:r w:rsidRPr="008B6881">
        <w:rPr>
          <w:sz w:val="22"/>
          <w:szCs w:val="22"/>
        </w:rPr>
        <w:t xml:space="preserve"> (up to 15,000 TPY PSG) is under preliminary engineering review, contingent on offtake finalization and financing.</w:t>
      </w:r>
    </w:p>
    <w:p w14:paraId="49735E78" w14:textId="77777777" w:rsidR="00C642F6" w:rsidRPr="008B6881" w:rsidRDefault="00C642F6" w:rsidP="00127934">
      <w:pPr>
        <w:pStyle w:val="NormalWeb"/>
        <w:numPr>
          <w:ilvl w:val="0"/>
          <w:numId w:val="115"/>
        </w:numPr>
        <w:rPr>
          <w:sz w:val="22"/>
          <w:szCs w:val="22"/>
        </w:rPr>
      </w:pPr>
      <w:proofErr w:type="spellStart"/>
      <w:r w:rsidRPr="008B6881">
        <w:rPr>
          <w:sz w:val="22"/>
          <w:szCs w:val="22"/>
        </w:rPr>
        <w:t>CapEx</w:t>
      </w:r>
      <w:proofErr w:type="spellEnd"/>
      <w:r w:rsidRPr="008B6881">
        <w:rPr>
          <w:sz w:val="22"/>
          <w:szCs w:val="22"/>
        </w:rPr>
        <w:t xml:space="preserve"> for Coosa mining development (pre-construction) is expected to be minimal in FY2025–2026 and picked up post-resource update.</w:t>
      </w:r>
    </w:p>
    <w:p w14:paraId="69FBFECD" w14:textId="77777777" w:rsidR="00C642F6" w:rsidRPr="008B6881" w:rsidRDefault="00C642F6" w:rsidP="00C642F6">
      <w:pPr>
        <w:pStyle w:val="NormalWeb"/>
        <w:rPr>
          <w:sz w:val="22"/>
          <w:szCs w:val="22"/>
        </w:rPr>
      </w:pPr>
      <w:r w:rsidRPr="008B6881">
        <w:rPr>
          <w:rStyle w:val="Strong"/>
          <w:rFonts w:eastAsiaTheme="majorEastAsia"/>
          <w:sz w:val="22"/>
          <w:szCs w:val="22"/>
        </w:rPr>
        <w:t>Segment Performance &amp; Outlook</w:t>
      </w:r>
    </w:p>
    <w:p w14:paraId="036AFD2E" w14:textId="77777777" w:rsidR="00C642F6" w:rsidRPr="008B6881" w:rsidRDefault="00C642F6" w:rsidP="00127934">
      <w:pPr>
        <w:pStyle w:val="NormalWeb"/>
        <w:numPr>
          <w:ilvl w:val="0"/>
          <w:numId w:val="116"/>
        </w:numPr>
        <w:rPr>
          <w:sz w:val="22"/>
          <w:szCs w:val="22"/>
        </w:rPr>
      </w:pPr>
      <w:r w:rsidRPr="008B6881">
        <w:rPr>
          <w:rStyle w:val="Strong"/>
          <w:rFonts w:eastAsiaTheme="majorEastAsia"/>
          <w:sz w:val="22"/>
          <w:szCs w:val="22"/>
        </w:rPr>
        <w:t>Battery-Grade Graphite (</w:t>
      </w:r>
      <w:proofErr w:type="spellStart"/>
      <w:r w:rsidRPr="008B6881">
        <w:rPr>
          <w:rStyle w:val="Strong"/>
          <w:rFonts w:eastAsiaTheme="majorEastAsia"/>
          <w:sz w:val="22"/>
          <w:szCs w:val="22"/>
        </w:rPr>
        <w:t>Kellyton</w:t>
      </w:r>
      <w:proofErr w:type="spellEnd"/>
      <w:r w:rsidRPr="008B6881">
        <w:rPr>
          <w:rStyle w:val="Strong"/>
          <w:rFonts w:eastAsiaTheme="majorEastAsia"/>
          <w:sz w:val="22"/>
          <w:szCs w:val="22"/>
        </w:rPr>
        <w:t>)</w:t>
      </w:r>
      <w:r w:rsidRPr="008B6881">
        <w:rPr>
          <w:sz w:val="22"/>
          <w:szCs w:val="22"/>
        </w:rPr>
        <w:t>:</w:t>
      </w:r>
    </w:p>
    <w:p w14:paraId="3A7F871B" w14:textId="77777777" w:rsidR="00C642F6" w:rsidRPr="008B6881" w:rsidRDefault="00C642F6" w:rsidP="00127934">
      <w:pPr>
        <w:pStyle w:val="NormalWeb"/>
        <w:numPr>
          <w:ilvl w:val="1"/>
          <w:numId w:val="116"/>
        </w:numPr>
        <w:rPr>
          <w:sz w:val="22"/>
          <w:szCs w:val="22"/>
        </w:rPr>
      </w:pPr>
      <w:r w:rsidRPr="008B6881">
        <w:rPr>
          <w:sz w:val="22"/>
          <w:szCs w:val="22"/>
        </w:rPr>
        <w:t>No commercial shipments yet; test production expected to begin mid-2026</w:t>
      </w:r>
    </w:p>
    <w:p w14:paraId="496EF5E4" w14:textId="77777777" w:rsidR="00C642F6" w:rsidRPr="008B6881" w:rsidRDefault="00C642F6" w:rsidP="00127934">
      <w:pPr>
        <w:pStyle w:val="NormalWeb"/>
        <w:numPr>
          <w:ilvl w:val="1"/>
          <w:numId w:val="116"/>
        </w:numPr>
        <w:rPr>
          <w:sz w:val="22"/>
          <w:szCs w:val="22"/>
        </w:rPr>
      </w:pPr>
      <w:r w:rsidRPr="008B6881">
        <w:rPr>
          <w:sz w:val="22"/>
          <w:szCs w:val="22"/>
        </w:rPr>
        <w:t>Initial output contracted to U.S. battery and EV OEMs (under negotiation)</w:t>
      </w:r>
    </w:p>
    <w:p w14:paraId="40DC18ED" w14:textId="77777777" w:rsidR="00C642F6" w:rsidRPr="008B6881" w:rsidRDefault="00C642F6" w:rsidP="00127934">
      <w:pPr>
        <w:pStyle w:val="NormalWeb"/>
        <w:numPr>
          <w:ilvl w:val="1"/>
          <w:numId w:val="116"/>
        </w:numPr>
        <w:rPr>
          <w:sz w:val="22"/>
          <w:szCs w:val="22"/>
        </w:rPr>
      </w:pPr>
      <w:r w:rsidRPr="008B6881">
        <w:rPr>
          <w:sz w:val="22"/>
          <w:szCs w:val="22"/>
        </w:rPr>
        <w:t>Long-term plan includes vertical integration with Coosa feedstock</w:t>
      </w:r>
    </w:p>
    <w:p w14:paraId="56B5018E" w14:textId="77777777" w:rsidR="00C642F6" w:rsidRPr="008B6881" w:rsidRDefault="00C642F6" w:rsidP="00127934">
      <w:pPr>
        <w:pStyle w:val="NormalWeb"/>
        <w:numPr>
          <w:ilvl w:val="1"/>
          <w:numId w:val="116"/>
        </w:numPr>
        <w:rPr>
          <w:sz w:val="22"/>
          <w:szCs w:val="22"/>
        </w:rPr>
      </w:pPr>
      <w:r w:rsidRPr="008B6881">
        <w:rPr>
          <w:sz w:val="22"/>
          <w:szCs w:val="22"/>
        </w:rPr>
        <w:lastRenderedPageBreak/>
        <w:t>Located near key infrastructure, rail, and ports in east-central Alabama</w:t>
      </w:r>
    </w:p>
    <w:p w14:paraId="79098D08" w14:textId="77777777" w:rsidR="00C642F6" w:rsidRPr="008B6881" w:rsidRDefault="00C642F6" w:rsidP="00127934">
      <w:pPr>
        <w:pStyle w:val="NormalWeb"/>
        <w:numPr>
          <w:ilvl w:val="0"/>
          <w:numId w:val="116"/>
        </w:numPr>
        <w:rPr>
          <w:sz w:val="22"/>
          <w:szCs w:val="22"/>
        </w:rPr>
      </w:pPr>
      <w:r w:rsidRPr="008B6881">
        <w:rPr>
          <w:rStyle w:val="Strong"/>
          <w:rFonts w:eastAsiaTheme="majorEastAsia"/>
          <w:sz w:val="22"/>
          <w:szCs w:val="22"/>
        </w:rPr>
        <w:t>Mining (Coosa Deposit)</w:t>
      </w:r>
      <w:r w:rsidRPr="008B6881">
        <w:rPr>
          <w:sz w:val="22"/>
          <w:szCs w:val="22"/>
        </w:rPr>
        <w:t>:</w:t>
      </w:r>
    </w:p>
    <w:p w14:paraId="7E74740C" w14:textId="77777777" w:rsidR="00C642F6" w:rsidRPr="008B6881" w:rsidRDefault="00C642F6" w:rsidP="00127934">
      <w:pPr>
        <w:pStyle w:val="NormalWeb"/>
        <w:numPr>
          <w:ilvl w:val="1"/>
          <w:numId w:val="116"/>
        </w:numPr>
        <w:rPr>
          <w:sz w:val="22"/>
          <w:szCs w:val="22"/>
        </w:rPr>
      </w:pPr>
      <w:r w:rsidRPr="008B6881">
        <w:rPr>
          <w:sz w:val="22"/>
          <w:szCs w:val="22"/>
        </w:rPr>
        <w:t>Permitting, exploration, and planning phase only</w:t>
      </w:r>
    </w:p>
    <w:p w14:paraId="5494F236" w14:textId="77777777" w:rsidR="00C642F6" w:rsidRPr="008B6881" w:rsidRDefault="00C642F6" w:rsidP="00127934">
      <w:pPr>
        <w:pStyle w:val="NormalWeb"/>
        <w:numPr>
          <w:ilvl w:val="1"/>
          <w:numId w:val="116"/>
        </w:numPr>
        <w:rPr>
          <w:sz w:val="22"/>
          <w:szCs w:val="22"/>
        </w:rPr>
      </w:pPr>
      <w:r w:rsidRPr="008B6881">
        <w:rPr>
          <w:sz w:val="22"/>
          <w:szCs w:val="22"/>
        </w:rPr>
        <w:t>No revenue or EBITDA impact in 2025</w:t>
      </w:r>
    </w:p>
    <w:p w14:paraId="711CD336" w14:textId="77777777" w:rsidR="00C642F6" w:rsidRPr="008B6881" w:rsidRDefault="00C642F6" w:rsidP="00127934">
      <w:pPr>
        <w:pStyle w:val="NormalWeb"/>
        <w:numPr>
          <w:ilvl w:val="1"/>
          <w:numId w:val="116"/>
        </w:numPr>
        <w:rPr>
          <w:sz w:val="22"/>
          <w:szCs w:val="22"/>
        </w:rPr>
      </w:pPr>
      <w:r w:rsidRPr="008B6881">
        <w:rPr>
          <w:sz w:val="22"/>
          <w:szCs w:val="22"/>
        </w:rPr>
        <w:t xml:space="preserve">Potential to be one of the </w:t>
      </w:r>
      <w:r w:rsidRPr="008B6881">
        <w:rPr>
          <w:rStyle w:val="Strong"/>
          <w:rFonts w:eastAsiaTheme="majorEastAsia"/>
          <w:sz w:val="22"/>
          <w:szCs w:val="22"/>
        </w:rPr>
        <w:t>largest natural flake graphite sources in the U.S.</w:t>
      </w:r>
      <w:r w:rsidRPr="008B6881">
        <w:rPr>
          <w:sz w:val="22"/>
          <w:szCs w:val="22"/>
        </w:rPr>
        <w:t xml:space="preserve"> once operational</w:t>
      </w:r>
    </w:p>
    <w:p w14:paraId="79DFB766" w14:textId="77777777" w:rsidR="00C642F6" w:rsidRPr="008B6881" w:rsidRDefault="00C642F6" w:rsidP="00127934">
      <w:pPr>
        <w:pStyle w:val="NormalWeb"/>
        <w:numPr>
          <w:ilvl w:val="0"/>
          <w:numId w:val="116"/>
        </w:numPr>
        <w:rPr>
          <w:sz w:val="22"/>
          <w:szCs w:val="22"/>
        </w:rPr>
      </w:pPr>
      <w:r w:rsidRPr="008B6881">
        <w:rPr>
          <w:rStyle w:val="Strong"/>
          <w:rFonts w:eastAsiaTheme="majorEastAsia"/>
          <w:sz w:val="22"/>
          <w:szCs w:val="22"/>
        </w:rPr>
        <w:t>Outlook</w:t>
      </w:r>
      <w:r w:rsidRPr="008B6881">
        <w:rPr>
          <w:sz w:val="22"/>
          <w:szCs w:val="22"/>
        </w:rPr>
        <w:t>:</w:t>
      </w:r>
    </w:p>
    <w:p w14:paraId="168BBCC4" w14:textId="77777777" w:rsidR="00C642F6" w:rsidRPr="008B6881" w:rsidRDefault="00C642F6" w:rsidP="00127934">
      <w:pPr>
        <w:pStyle w:val="NormalWeb"/>
        <w:numPr>
          <w:ilvl w:val="1"/>
          <w:numId w:val="116"/>
        </w:numPr>
        <w:rPr>
          <w:sz w:val="22"/>
          <w:szCs w:val="22"/>
        </w:rPr>
      </w:pPr>
      <w:r w:rsidRPr="008B6881">
        <w:rPr>
          <w:sz w:val="22"/>
          <w:szCs w:val="22"/>
        </w:rPr>
        <w:t>No revenue expected in FY2025; company is pre-production</w:t>
      </w:r>
    </w:p>
    <w:p w14:paraId="09D576A9" w14:textId="77777777" w:rsidR="00C642F6" w:rsidRPr="008B6881" w:rsidRDefault="00C642F6" w:rsidP="00127934">
      <w:pPr>
        <w:pStyle w:val="NormalWeb"/>
        <w:numPr>
          <w:ilvl w:val="1"/>
          <w:numId w:val="116"/>
        </w:numPr>
        <w:rPr>
          <w:sz w:val="22"/>
          <w:szCs w:val="22"/>
        </w:rPr>
      </w:pPr>
      <w:r w:rsidRPr="008B6881">
        <w:rPr>
          <w:sz w:val="22"/>
          <w:szCs w:val="22"/>
        </w:rPr>
        <w:t>Continued progress expected in:</w:t>
      </w:r>
    </w:p>
    <w:p w14:paraId="5D35E17F" w14:textId="77777777" w:rsidR="00C642F6" w:rsidRPr="008B6881" w:rsidRDefault="00C642F6" w:rsidP="00127934">
      <w:pPr>
        <w:pStyle w:val="NormalWeb"/>
        <w:numPr>
          <w:ilvl w:val="2"/>
          <w:numId w:val="116"/>
        </w:numPr>
        <w:rPr>
          <w:sz w:val="22"/>
          <w:szCs w:val="22"/>
        </w:rPr>
      </w:pPr>
      <w:r w:rsidRPr="008B6881">
        <w:rPr>
          <w:sz w:val="22"/>
          <w:szCs w:val="22"/>
        </w:rPr>
        <w:t>Final mechanical completion (Q1 2026)</w:t>
      </w:r>
    </w:p>
    <w:p w14:paraId="7718B680" w14:textId="77777777" w:rsidR="00C642F6" w:rsidRPr="008B6881" w:rsidRDefault="00C642F6" w:rsidP="00127934">
      <w:pPr>
        <w:pStyle w:val="NormalWeb"/>
        <w:numPr>
          <w:ilvl w:val="2"/>
          <w:numId w:val="116"/>
        </w:numPr>
        <w:rPr>
          <w:sz w:val="22"/>
          <w:szCs w:val="22"/>
        </w:rPr>
      </w:pPr>
      <w:r w:rsidRPr="008B6881">
        <w:rPr>
          <w:sz w:val="22"/>
          <w:szCs w:val="22"/>
        </w:rPr>
        <w:t>Offtake finalization (3 deals in advanced stages)</w:t>
      </w:r>
    </w:p>
    <w:p w14:paraId="0A1E45E3" w14:textId="77777777" w:rsidR="00C642F6" w:rsidRPr="008B6881" w:rsidRDefault="00C642F6" w:rsidP="00127934">
      <w:pPr>
        <w:pStyle w:val="NormalWeb"/>
        <w:numPr>
          <w:ilvl w:val="2"/>
          <w:numId w:val="116"/>
        </w:numPr>
        <w:rPr>
          <w:sz w:val="22"/>
          <w:szCs w:val="22"/>
        </w:rPr>
      </w:pPr>
      <w:r w:rsidRPr="008B6881">
        <w:rPr>
          <w:sz w:val="22"/>
          <w:szCs w:val="22"/>
        </w:rPr>
        <w:t xml:space="preserve">Coosa </w:t>
      </w:r>
      <w:proofErr w:type="gramStart"/>
      <w:r w:rsidRPr="008B6881">
        <w:rPr>
          <w:sz w:val="22"/>
          <w:szCs w:val="22"/>
        </w:rPr>
        <w:t>mine plan</w:t>
      </w:r>
      <w:proofErr w:type="gramEnd"/>
      <w:r w:rsidRPr="008B6881">
        <w:rPr>
          <w:sz w:val="22"/>
          <w:szCs w:val="22"/>
        </w:rPr>
        <w:t xml:space="preserve"> update (2026 resource estimate)</w:t>
      </w:r>
    </w:p>
    <w:p w14:paraId="466BD2D5" w14:textId="77777777" w:rsidR="00C642F6" w:rsidRPr="008B6881" w:rsidRDefault="00C642F6" w:rsidP="00127934">
      <w:pPr>
        <w:pStyle w:val="NormalWeb"/>
        <w:numPr>
          <w:ilvl w:val="1"/>
          <w:numId w:val="116"/>
        </w:numPr>
        <w:rPr>
          <w:sz w:val="22"/>
          <w:szCs w:val="22"/>
        </w:rPr>
      </w:pPr>
      <w:r w:rsidRPr="008B6881">
        <w:rPr>
          <w:sz w:val="22"/>
          <w:szCs w:val="22"/>
        </w:rPr>
        <w:t>Cash runway into mid-2026, bolstered by potential public or strategic capital</w:t>
      </w:r>
    </w:p>
    <w:p w14:paraId="31840627" w14:textId="77777777" w:rsidR="00C642F6" w:rsidRPr="008B6881" w:rsidRDefault="00C642F6" w:rsidP="00127934">
      <w:pPr>
        <w:pStyle w:val="NormalWeb"/>
        <w:numPr>
          <w:ilvl w:val="1"/>
          <w:numId w:val="116"/>
        </w:numPr>
        <w:rPr>
          <w:sz w:val="22"/>
          <w:szCs w:val="22"/>
        </w:rPr>
      </w:pPr>
      <w:r w:rsidRPr="008B6881">
        <w:rPr>
          <w:sz w:val="22"/>
          <w:szCs w:val="22"/>
        </w:rPr>
        <w:t xml:space="preserve">Westwater views Alabama operations as its </w:t>
      </w:r>
      <w:r w:rsidRPr="008B6881">
        <w:rPr>
          <w:rStyle w:val="Strong"/>
          <w:rFonts w:eastAsiaTheme="majorEastAsia"/>
          <w:sz w:val="22"/>
          <w:szCs w:val="22"/>
        </w:rPr>
        <w:t>core strategic platform</w:t>
      </w:r>
      <w:r w:rsidRPr="008B6881">
        <w:rPr>
          <w:sz w:val="22"/>
          <w:szCs w:val="22"/>
        </w:rPr>
        <w:t xml:space="preserve"> and anticipates </w:t>
      </w:r>
      <w:r w:rsidRPr="008B6881">
        <w:rPr>
          <w:rStyle w:val="Strong"/>
          <w:rFonts w:eastAsiaTheme="majorEastAsia"/>
          <w:sz w:val="22"/>
          <w:szCs w:val="22"/>
        </w:rPr>
        <w:t xml:space="preserve">50+ jobs in </w:t>
      </w:r>
      <w:proofErr w:type="spellStart"/>
      <w:r w:rsidRPr="008B6881">
        <w:rPr>
          <w:rStyle w:val="Strong"/>
          <w:rFonts w:eastAsiaTheme="majorEastAsia"/>
          <w:sz w:val="22"/>
          <w:szCs w:val="22"/>
        </w:rPr>
        <w:t>Kellyton</w:t>
      </w:r>
      <w:proofErr w:type="spellEnd"/>
      <w:r w:rsidRPr="008B6881">
        <w:rPr>
          <w:sz w:val="22"/>
          <w:szCs w:val="22"/>
        </w:rPr>
        <w:t xml:space="preserve"> once production ramps in late 2026</w:t>
      </w:r>
    </w:p>
    <w:p w14:paraId="39FC6B1C" w14:textId="77777777" w:rsidR="00E47356" w:rsidRDefault="00E47356" w:rsidP="3CA273EB">
      <w:pPr>
        <w:spacing w:before="240" w:after="240"/>
        <w:rPr>
          <w:rFonts w:ascii="Times New Roman" w:eastAsia="Times New Roman" w:hAnsi="Times New Roman" w:cs="Times New Roman"/>
        </w:rPr>
      </w:pPr>
    </w:p>
    <w:p w14:paraId="310AB1A5" w14:textId="6CFB496A" w:rsidR="008B733A" w:rsidRPr="00BC0D8E" w:rsidRDefault="34354836" w:rsidP="2535092B">
      <w:pPr>
        <w:pStyle w:val="Heading1"/>
        <w:spacing w:before="240" w:after="240"/>
        <w:rPr>
          <w:rFonts w:cs="Times New Roman"/>
        </w:rPr>
      </w:pPr>
      <w:bookmarkStart w:id="155" w:name="_Toc147824718"/>
      <w:bookmarkStart w:id="156" w:name="_Toc212796800"/>
      <w:r w:rsidRPr="2535092B">
        <w:rPr>
          <w:rFonts w:cs="Times New Roman"/>
        </w:rPr>
        <w:t>Additional Notes:</w:t>
      </w:r>
      <w:bookmarkEnd w:id="155"/>
      <w:bookmarkEnd w:id="156"/>
    </w:p>
    <w:p w14:paraId="19313CB5" w14:textId="1A511457" w:rsidR="00C97474" w:rsidRDefault="2D4A2082" w:rsidP="000C7668">
      <w:pPr>
        <w:pStyle w:val="Heading2"/>
        <w:rPr>
          <w:rFonts w:cs="Times New Roman"/>
        </w:rPr>
      </w:pPr>
      <w:bookmarkStart w:id="157" w:name="_Toc212796801"/>
      <w:r w:rsidRPr="2535092B">
        <w:rPr>
          <w:rFonts w:cs="Times New Roman"/>
        </w:rPr>
        <w:t>BAE Systems</w:t>
      </w:r>
      <w:r w:rsidR="7B1AD45D" w:rsidRPr="2535092B">
        <w:rPr>
          <w:rFonts w:cs="Times New Roman"/>
        </w:rPr>
        <w:t xml:space="preserve"> plc</w:t>
      </w:r>
      <w:r w:rsidR="5677240C" w:rsidRPr="2535092B">
        <w:rPr>
          <w:rFonts w:cs="Times New Roman"/>
        </w:rPr>
        <w:t xml:space="preserve"> (LSE:BA.)</w:t>
      </w:r>
      <w:bookmarkEnd w:id="157"/>
    </w:p>
    <w:p w14:paraId="711CDEFE" w14:textId="4A46A436" w:rsidR="00336203" w:rsidRPr="00A74436" w:rsidRDefault="00A15B88" w:rsidP="00336203">
      <w:pPr>
        <w:pStyle w:val="ListParagraph"/>
        <w:numPr>
          <w:ilvl w:val="0"/>
          <w:numId w:val="1"/>
        </w:numPr>
        <w:rPr>
          <w:rFonts w:ascii="Times New Roman" w:hAnsi="Times New Roman" w:cs="Times New Roman"/>
        </w:rPr>
      </w:pPr>
      <w:r>
        <w:rPr>
          <w:rFonts w:ascii="Times New Roman" w:eastAsia="Times New Roman" w:hAnsi="Times New Roman" w:cs="Times New Roman"/>
        </w:rPr>
        <w:t>June 5, 2025 – BAE Systems Wins $1.2 Billion Contract for U.S. Space Force Missile Warning and Tracking Satellite System</w:t>
      </w:r>
    </w:p>
    <w:p w14:paraId="5FD21654" w14:textId="379DDDA0" w:rsidR="00A74436" w:rsidRPr="00A15B88" w:rsidRDefault="00A74436" w:rsidP="00A74436">
      <w:pPr>
        <w:pStyle w:val="Heading2"/>
        <w:rPr>
          <w:rFonts w:cs="Times New Roman"/>
        </w:rPr>
      </w:pPr>
      <w:bookmarkStart w:id="158" w:name="_Toc212796802"/>
      <w:r w:rsidRPr="2535092B">
        <w:rPr>
          <w:rFonts w:cs="Times New Roman"/>
        </w:rPr>
        <w:t>B</w:t>
      </w:r>
      <w:r w:rsidR="000B63AB">
        <w:rPr>
          <w:rFonts w:cs="Times New Roman"/>
        </w:rPr>
        <w:t xml:space="preserve">ioCryst </w:t>
      </w:r>
      <w:proofErr w:type="gramStart"/>
      <w:r w:rsidR="000B63AB">
        <w:rPr>
          <w:rFonts w:cs="Times New Roman"/>
        </w:rPr>
        <w:t>Pharmaceuticals(</w:t>
      </w:r>
      <w:proofErr w:type="gramEnd"/>
      <w:r w:rsidR="000B63AB">
        <w:rPr>
          <w:rFonts w:cs="Times New Roman"/>
        </w:rPr>
        <w:t>NASDAQGS: BCRX)</w:t>
      </w:r>
      <w:bookmarkEnd w:id="158"/>
      <w:r w:rsidR="000B63AB">
        <w:rPr>
          <w:rFonts w:cs="Times New Roman"/>
        </w:rPr>
        <w:t xml:space="preserve"> </w:t>
      </w:r>
    </w:p>
    <w:p w14:paraId="06BFDF05" w14:textId="18C7C7C9" w:rsidR="00A74436" w:rsidRPr="00BC00B8" w:rsidRDefault="000B63AB" w:rsidP="00A74436">
      <w:pPr>
        <w:pStyle w:val="ListParagraph"/>
        <w:numPr>
          <w:ilvl w:val="0"/>
          <w:numId w:val="1"/>
        </w:numPr>
        <w:rPr>
          <w:rFonts w:ascii="Times New Roman" w:hAnsi="Times New Roman" w:cs="Times New Roman"/>
        </w:rPr>
      </w:pPr>
      <w:r>
        <w:rPr>
          <w:rFonts w:ascii="Times New Roman" w:eastAsia="Times New Roman" w:hAnsi="Times New Roman" w:cs="Times New Roman"/>
        </w:rPr>
        <w:t xml:space="preserve">June </w:t>
      </w:r>
      <w:r w:rsidR="00BC00B8">
        <w:rPr>
          <w:rFonts w:ascii="Times New Roman" w:eastAsia="Times New Roman" w:hAnsi="Times New Roman" w:cs="Times New Roman"/>
        </w:rPr>
        <w:t xml:space="preserve">27, 2025 - </w:t>
      </w:r>
      <w:proofErr w:type="spellStart"/>
      <w:r w:rsidR="00BC00B8" w:rsidRPr="00BC00B8">
        <w:rPr>
          <w:rFonts w:ascii="Times New Roman" w:eastAsia="Times New Roman" w:hAnsi="Times New Roman" w:cs="Times New Roman"/>
        </w:rPr>
        <w:t>Neopharmed</w:t>
      </w:r>
      <w:proofErr w:type="spellEnd"/>
      <w:r w:rsidR="00BC00B8" w:rsidRPr="00BC00B8">
        <w:rPr>
          <w:rFonts w:ascii="Times New Roman" w:eastAsia="Times New Roman" w:hAnsi="Times New Roman" w:cs="Times New Roman"/>
        </w:rPr>
        <w:t xml:space="preserve"> Gentili S.p.A. entered into a Stock Purchase Agreement to acquire </w:t>
      </w:r>
      <w:proofErr w:type="spellStart"/>
      <w:r w:rsidR="00BC00B8" w:rsidRPr="00BC00B8">
        <w:rPr>
          <w:rFonts w:ascii="Times New Roman" w:eastAsia="Times New Roman" w:hAnsi="Times New Roman" w:cs="Times New Roman"/>
        </w:rPr>
        <w:t>Biocryst</w:t>
      </w:r>
      <w:proofErr w:type="spellEnd"/>
      <w:r w:rsidR="00BC00B8" w:rsidRPr="00BC00B8">
        <w:rPr>
          <w:rFonts w:ascii="Times New Roman" w:eastAsia="Times New Roman" w:hAnsi="Times New Roman" w:cs="Times New Roman"/>
        </w:rPr>
        <w:t xml:space="preserve"> Ireland Limited from BioCryst Pharmaceuticals, Inc. (</w:t>
      </w:r>
      <w:proofErr w:type="spellStart"/>
      <w:proofErr w:type="gramStart"/>
      <w:r w:rsidR="00BC00B8" w:rsidRPr="00BC00B8">
        <w:rPr>
          <w:rFonts w:ascii="Times New Roman" w:eastAsia="Times New Roman" w:hAnsi="Times New Roman" w:cs="Times New Roman"/>
        </w:rPr>
        <w:t>NasdaqGS:BCRX</w:t>
      </w:r>
      <w:proofErr w:type="spellEnd"/>
      <w:proofErr w:type="gramEnd"/>
      <w:r w:rsidR="00BC00B8" w:rsidRPr="00BC00B8">
        <w:rPr>
          <w:rFonts w:ascii="Times New Roman" w:eastAsia="Times New Roman" w:hAnsi="Times New Roman" w:cs="Times New Roman"/>
        </w:rPr>
        <w:t>) for approximately $260 million.</w:t>
      </w:r>
    </w:p>
    <w:p w14:paraId="23CC54D1" w14:textId="1AFED899" w:rsidR="00A71C21" w:rsidRDefault="6D44F6D6" w:rsidP="00A71C21">
      <w:pPr>
        <w:pStyle w:val="Heading2"/>
        <w:rPr>
          <w:rFonts w:cs="Times New Roman"/>
        </w:rPr>
      </w:pPr>
      <w:bookmarkStart w:id="159" w:name="_Toc212796803"/>
      <w:r w:rsidRPr="2535092B">
        <w:rPr>
          <w:rFonts w:cs="Times New Roman"/>
        </w:rPr>
        <w:t>General Electric</w:t>
      </w:r>
      <w:r w:rsidR="2A4F77AF" w:rsidRPr="2535092B">
        <w:rPr>
          <w:rFonts w:cs="Times New Roman"/>
        </w:rPr>
        <w:t xml:space="preserve"> Company (NYSE:GE)</w:t>
      </w:r>
      <w:bookmarkEnd w:id="159"/>
    </w:p>
    <w:p w14:paraId="7BAF02FF" w14:textId="19AEAFAB" w:rsidR="00336203" w:rsidRPr="00E312C1" w:rsidRDefault="00E312C1" w:rsidP="0033620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June 26, 2025 - </w:t>
      </w:r>
      <w:r w:rsidRPr="00E312C1">
        <w:rPr>
          <w:rFonts w:ascii="Times New Roman" w:eastAsia="Times New Roman" w:hAnsi="Times New Roman" w:cs="Times New Roman"/>
        </w:rPr>
        <w:tab/>
        <w:t>General Electric Company (NYSE:GE) completed the acquisition of North Star Aerospace, Inc. from Wynnchurch Capital, L.P.</w:t>
      </w:r>
    </w:p>
    <w:p w14:paraId="4379470B" w14:textId="21F0BA60" w:rsidR="00687B74" w:rsidRDefault="57CB6BFB" w:rsidP="00687B74">
      <w:pPr>
        <w:pStyle w:val="Heading2"/>
        <w:rPr>
          <w:rFonts w:cs="Times New Roman"/>
        </w:rPr>
      </w:pPr>
      <w:bookmarkStart w:id="160" w:name="_Toc212796804"/>
      <w:r w:rsidRPr="2535092B">
        <w:rPr>
          <w:rFonts w:cs="Times New Roman"/>
        </w:rPr>
        <w:t>IN8bio, Inc.</w:t>
      </w:r>
      <w:r w:rsidR="2A4F77AF" w:rsidRPr="2535092B">
        <w:rPr>
          <w:rFonts w:cs="Times New Roman"/>
        </w:rPr>
        <w:t xml:space="preserve"> (</w:t>
      </w:r>
      <w:proofErr w:type="gramStart"/>
      <w:r w:rsidR="2A4F77AF" w:rsidRPr="2535092B">
        <w:rPr>
          <w:rFonts w:cs="Times New Roman"/>
        </w:rPr>
        <w:t>NASDAQGM:INAB</w:t>
      </w:r>
      <w:proofErr w:type="gramEnd"/>
      <w:r w:rsidR="2A4F77AF" w:rsidRPr="2535092B">
        <w:rPr>
          <w:rFonts w:cs="Times New Roman"/>
        </w:rPr>
        <w:t>)</w:t>
      </w:r>
      <w:bookmarkEnd w:id="160"/>
    </w:p>
    <w:p w14:paraId="73374E5E" w14:textId="7D1CD65D" w:rsidR="00336203" w:rsidRPr="00703EA1" w:rsidRDefault="00E94903" w:rsidP="00336203">
      <w:pPr>
        <w:pStyle w:val="ListParagraph"/>
        <w:numPr>
          <w:ilvl w:val="0"/>
          <w:numId w:val="1"/>
        </w:numPr>
        <w:rPr>
          <w:rFonts w:ascii="Times New Roman" w:hAnsi="Times New Roman" w:cs="Times New Roman"/>
        </w:rPr>
      </w:pPr>
      <w:r>
        <w:rPr>
          <w:rFonts w:ascii="Times New Roman" w:eastAsia="Times New Roman" w:hAnsi="Times New Roman" w:cs="Times New Roman"/>
        </w:rPr>
        <w:t xml:space="preserve">May 14, 2025 - </w:t>
      </w:r>
      <w:r w:rsidR="00703EA1" w:rsidRPr="00703EA1">
        <w:rPr>
          <w:rFonts w:ascii="Times New Roman" w:eastAsia="Times New Roman" w:hAnsi="Times New Roman" w:cs="Times New Roman"/>
        </w:rPr>
        <w:t>IN8bio, Inc. Presents Preclinical Data Highlighting Potential of INB-619 T Cell Engager (TCE) for Autoimmune Disease at ASGCT 2025</w:t>
      </w:r>
    </w:p>
    <w:p w14:paraId="1C951A30" w14:textId="36C9FB90" w:rsidR="671F4F05" w:rsidRDefault="671F4F05" w:rsidP="2535092B">
      <w:pPr>
        <w:pStyle w:val="Heading2"/>
        <w:rPr>
          <w:rFonts w:cs="Times New Roman"/>
        </w:rPr>
      </w:pPr>
      <w:bookmarkStart w:id="161" w:name="_Toc212796805"/>
      <w:r w:rsidRPr="2535092B">
        <w:rPr>
          <w:rFonts w:cs="Times New Roman"/>
        </w:rPr>
        <w:t>Kratos Defense &amp; Security Solutions (</w:t>
      </w:r>
      <w:proofErr w:type="gramStart"/>
      <w:r w:rsidR="591D0BB6" w:rsidRPr="2535092B">
        <w:rPr>
          <w:rFonts w:cs="Times New Roman"/>
        </w:rPr>
        <w:t>NASDAQGS:KTOS</w:t>
      </w:r>
      <w:proofErr w:type="gramEnd"/>
      <w:r w:rsidRPr="2535092B">
        <w:rPr>
          <w:rFonts w:cs="Times New Roman"/>
        </w:rPr>
        <w:t>)</w:t>
      </w:r>
      <w:bookmarkEnd w:id="161"/>
    </w:p>
    <w:p w14:paraId="0510C5E1" w14:textId="5E8349E4" w:rsidR="00336203" w:rsidRPr="00861020" w:rsidRDefault="00703EA1" w:rsidP="0033620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June 1</w:t>
      </w:r>
      <w:r w:rsidR="00861020">
        <w:rPr>
          <w:rFonts w:ascii="Times New Roman" w:eastAsia="Times New Roman" w:hAnsi="Times New Roman" w:cs="Times New Roman"/>
        </w:rPr>
        <w:t>1</w:t>
      </w:r>
      <w:r>
        <w:rPr>
          <w:rFonts w:ascii="Times New Roman" w:eastAsia="Times New Roman" w:hAnsi="Times New Roman" w:cs="Times New Roman"/>
        </w:rPr>
        <w:t>, 2025 -</w:t>
      </w:r>
      <w:r w:rsidR="00861020">
        <w:rPr>
          <w:rFonts w:ascii="Times New Roman" w:eastAsia="Times New Roman" w:hAnsi="Times New Roman" w:cs="Times New Roman"/>
        </w:rPr>
        <w:t xml:space="preserve"> </w:t>
      </w:r>
      <w:r w:rsidR="00861020" w:rsidRPr="00861020">
        <w:rPr>
          <w:rFonts w:ascii="Times New Roman" w:eastAsia="Times New Roman" w:hAnsi="Times New Roman" w:cs="Times New Roman"/>
        </w:rPr>
        <w:tab/>
        <w:t>Kratos Defense &amp; Security Solutions, Inc. Awarded $25 Million Task Order for U.S. Space Force’s Evolved Strategic Satcom</w:t>
      </w:r>
    </w:p>
    <w:p w14:paraId="7C2A750E" w14:textId="6D4A4B9A" w:rsidR="00BD428A" w:rsidRDefault="4DC8862A" w:rsidP="00BD428A">
      <w:pPr>
        <w:pStyle w:val="Heading2"/>
        <w:rPr>
          <w:rFonts w:cs="Times New Roman"/>
        </w:rPr>
      </w:pPr>
      <w:bookmarkStart w:id="162" w:name="_Toc212796806"/>
      <w:r w:rsidRPr="2535092B">
        <w:rPr>
          <w:rFonts w:cs="Times New Roman"/>
        </w:rPr>
        <w:t>Lockheed Martin Corporation</w:t>
      </w:r>
      <w:r w:rsidR="2A4F77AF" w:rsidRPr="2535092B">
        <w:rPr>
          <w:rFonts w:cs="Times New Roman"/>
        </w:rPr>
        <w:t xml:space="preserve"> (</w:t>
      </w:r>
      <w:proofErr w:type="gramStart"/>
      <w:r w:rsidR="2A4F77AF" w:rsidRPr="2535092B">
        <w:rPr>
          <w:rFonts w:cs="Times New Roman"/>
        </w:rPr>
        <w:t>NYSE:LMT</w:t>
      </w:r>
      <w:proofErr w:type="gramEnd"/>
      <w:r w:rsidR="2A4F77AF" w:rsidRPr="2535092B">
        <w:rPr>
          <w:rFonts w:cs="Times New Roman"/>
        </w:rPr>
        <w:t>)</w:t>
      </w:r>
      <w:bookmarkEnd w:id="162"/>
    </w:p>
    <w:p w14:paraId="33A799B5" w14:textId="59C22E5B" w:rsidR="00336203" w:rsidRPr="00A11A83" w:rsidRDefault="00A11A83" w:rsidP="0033620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June 26, 2025 - </w:t>
      </w:r>
      <w:r w:rsidRPr="00A11A83">
        <w:rPr>
          <w:rFonts w:ascii="Times New Roman" w:eastAsia="Times New Roman" w:hAnsi="Times New Roman" w:cs="Times New Roman"/>
        </w:rPr>
        <w:t>Lockheed Martin Corporation (</w:t>
      </w:r>
      <w:proofErr w:type="gramStart"/>
      <w:r w:rsidRPr="00A11A83">
        <w:rPr>
          <w:rFonts w:ascii="Times New Roman" w:eastAsia="Times New Roman" w:hAnsi="Times New Roman" w:cs="Times New Roman"/>
        </w:rPr>
        <w:t>NYSE:LMT</w:t>
      </w:r>
      <w:proofErr w:type="gramEnd"/>
      <w:r w:rsidRPr="00A11A83">
        <w:rPr>
          <w:rFonts w:ascii="Times New Roman" w:eastAsia="Times New Roman" w:hAnsi="Times New Roman" w:cs="Times New Roman"/>
        </w:rPr>
        <w:t>) completed the acquisition of Rapid Solutions Product Business of Amentum Holdings, Inc. (</w:t>
      </w:r>
      <w:proofErr w:type="gramStart"/>
      <w:r w:rsidRPr="00A11A83">
        <w:rPr>
          <w:rFonts w:ascii="Times New Roman" w:eastAsia="Times New Roman" w:hAnsi="Times New Roman" w:cs="Times New Roman"/>
        </w:rPr>
        <w:t>NYSE:AMTM</w:t>
      </w:r>
      <w:proofErr w:type="gramEnd"/>
      <w:r w:rsidRPr="00A11A83">
        <w:rPr>
          <w:rFonts w:ascii="Times New Roman" w:eastAsia="Times New Roman" w:hAnsi="Times New Roman" w:cs="Times New Roman"/>
        </w:rPr>
        <w:t>).</w:t>
      </w:r>
    </w:p>
    <w:p w14:paraId="33291CC3" w14:textId="0C6157DC" w:rsidR="001A48A5" w:rsidRDefault="62AD3BB1" w:rsidP="001A48A5">
      <w:pPr>
        <w:pStyle w:val="Heading2"/>
        <w:rPr>
          <w:rFonts w:cs="Times New Roman"/>
        </w:rPr>
      </w:pPr>
      <w:bookmarkStart w:id="163" w:name="_Toc212796807"/>
      <w:r w:rsidRPr="2535092B">
        <w:rPr>
          <w:rFonts w:cs="Times New Roman"/>
        </w:rPr>
        <w:lastRenderedPageBreak/>
        <w:t>Quest Diagnostics Incorporated</w:t>
      </w:r>
      <w:r w:rsidR="34AF8485" w:rsidRPr="2535092B">
        <w:rPr>
          <w:rFonts w:cs="Times New Roman"/>
        </w:rPr>
        <w:t xml:space="preserve"> (</w:t>
      </w:r>
      <w:proofErr w:type="gramStart"/>
      <w:r w:rsidR="34AF8485" w:rsidRPr="2535092B">
        <w:rPr>
          <w:rFonts w:cs="Times New Roman"/>
        </w:rPr>
        <w:t>NYSE:DGX</w:t>
      </w:r>
      <w:proofErr w:type="gramEnd"/>
      <w:r w:rsidR="34AF8485" w:rsidRPr="2535092B">
        <w:rPr>
          <w:rFonts w:cs="Times New Roman"/>
        </w:rPr>
        <w:t>)</w:t>
      </w:r>
      <w:bookmarkEnd w:id="163"/>
    </w:p>
    <w:p w14:paraId="72ED3936" w14:textId="499D6467" w:rsidR="00336203" w:rsidRPr="00013EB9" w:rsidRDefault="00013EB9" w:rsidP="00336203">
      <w:pPr>
        <w:pStyle w:val="ListParagraph"/>
        <w:numPr>
          <w:ilvl w:val="0"/>
          <w:numId w:val="1"/>
        </w:numPr>
        <w:rPr>
          <w:rFonts w:ascii="Times New Roman" w:hAnsi="Times New Roman" w:cs="Times New Roman"/>
        </w:rPr>
      </w:pPr>
      <w:r>
        <w:rPr>
          <w:rFonts w:ascii="Times New Roman" w:eastAsia="Times New Roman" w:hAnsi="Times New Roman" w:cs="Times New Roman"/>
        </w:rPr>
        <w:t xml:space="preserve">May 28, 2025 - </w:t>
      </w:r>
      <w:proofErr w:type="spellStart"/>
      <w:r w:rsidRPr="00013EB9">
        <w:rPr>
          <w:rFonts w:ascii="Times New Roman" w:eastAsia="Times New Roman" w:hAnsi="Times New Roman" w:cs="Times New Roman"/>
        </w:rPr>
        <w:t>PreciseDx</w:t>
      </w:r>
      <w:proofErr w:type="spellEnd"/>
      <w:r w:rsidRPr="00013EB9">
        <w:rPr>
          <w:rFonts w:ascii="Times New Roman" w:eastAsia="Times New Roman" w:hAnsi="Times New Roman" w:cs="Times New Roman"/>
        </w:rPr>
        <w:t xml:space="preserve">, Inc. announced that it expects to receive $38.349944 million in funding from Eventide Asset Management, LLC, Merck Global Health Innovation Fund, LLC, Philips Venture Capital Fund BV, </w:t>
      </w:r>
      <w:proofErr w:type="spellStart"/>
      <w:r w:rsidRPr="00013EB9">
        <w:rPr>
          <w:rFonts w:ascii="Times New Roman" w:eastAsia="Times New Roman" w:hAnsi="Times New Roman" w:cs="Times New Roman"/>
        </w:rPr>
        <w:t>Labcorp</w:t>
      </w:r>
      <w:proofErr w:type="spellEnd"/>
      <w:r w:rsidRPr="00013EB9">
        <w:rPr>
          <w:rFonts w:ascii="Times New Roman" w:eastAsia="Times New Roman" w:hAnsi="Times New Roman" w:cs="Times New Roman"/>
        </w:rPr>
        <w:t xml:space="preserve"> Holdings Inc., Quest Diagnostics Incorporated, </w:t>
      </w:r>
      <w:proofErr w:type="spellStart"/>
      <w:r w:rsidRPr="00013EB9">
        <w:rPr>
          <w:rFonts w:ascii="Times New Roman" w:eastAsia="Times New Roman" w:hAnsi="Times New Roman" w:cs="Times New Roman"/>
        </w:rPr>
        <w:t>GenHenn</w:t>
      </w:r>
      <w:proofErr w:type="spellEnd"/>
      <w:r w:rsidRPr="00013EB9">
        <w:rPr>
          <w:rFonts w:ascii="Times New Roman" w:eastAsia="Times New Roman" w:hAnsi="Times New Roman" w:cs="Times New Roman"/>
        </w:rPr>
        <w:t xml:space="preserve"> Capital</w:t>
      </w:r>
    </w:p>
    <w:p w14:paraId="36EA3F88" w14:textId="5DF26AA7" w:rsidR="00EC443D" w:rsidRDefault="03B531FA" w:rsidP="00EC443D">
      <w:pPr>
        <w:pStyle w:val="Heading2"/>
        <w:rPr>
          <w:rFonts w:cs="Times New Roman"/>
        </w:rPr>
      </w:pPr>
      <w:bookmarkStart w:id="164" w:name="_Toc212796808"/>
      <w:r w:rsidRPr="2535092B">
        <w:rPr>
          <w:rFonts w:cs="Times New Roman"/>
        </w:rPr>
        <w:t xml:space="preserve">Teledyne Technologies </w:t>
      </w:r>
      <w:r w:rsidR="5ED4A9B0" w:rsidRPr="2535092B">
        <w:rPr>
          <w:rFonts w:cs="Times New Roman"/>
        </w:rPr>
        <w:t>Incorporated</w:t>
      </w:r>
      <w:r w:rsidR="34AF8485" w:rsidRPr="2535092B">
        <w:rPr>
          <w:rFonts w:cs="Times New Roman"/>
        </w:rPr>
        <w:t xml:space="preserve"> (</w:t>
      </w:r>
      <w:proofErr w:type="gramStart"/>
      <w:r w:rsidR="34AF8485" w:rsidRPr="2535092B">
        <w:rPr>
          <w:rFonts w:cs="Times New Roman"/>
        </w:rPr>
        <w:t>NYSE:TDY</w:t>
      </w:r>
      <w:proofErr w:type="gramEnd"/>
      <w:r w:rsidR="34AF8485" w:rsidRPr="2535092B">
        <w:rPr>
          <w:rFonts w:cs="Times New Roman"/>
        </w:rPr>
        <w:t>)</w:t>
      </w:r>
      <w:bookmarkEnd w:id="164"/>
    </w:p>
    <w:p w14:paraId="284C7D49" w14:textId="6A1E985F" w:rsidR="00336203" w:rsidRPr="00213B86" w:rsidRDefault="00213B86" w:rsidP="00213B8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April 9, 2025 - </w:t>
      </w:r>
      <w:r w:rsidRPr="00213B86">
        <w:rPr>
          <w:rFonts w:ascii="Times New Roman" w:eastAsia="Times New Roman" w:hAnsi="Times New Roman" w:cs="Times New Roman"/>
        </w:rPr>
        <w:t xml:space="preserve">Teledyne </w:t>
      </w:r>
      <w:proofErr w:type="spellStart"/>
      <w:r w:rsidRPr="00213B86">
        <w:rPr>
          <w:rFonts w:ascii="Times New Roman" w:eastAsia="Times New Roman" w:hAnsi="Times New Roman" w:cs="Times New Roman"/>
        </w:rPr>
        <w:t>FlLIR</w:t>
      </w:r>
      <w:proofErr w:type="spellEnd"/>
      <w:r w:rsidRPr="00213B86">
        <w:rPr>
          <w:rFonts w:ascii="Times New Roman" w:eastAsia="Times New Roman" w:hAnsi="Times New Roman" w:cs="Times New Roman"/>
        </w:rPr>
        <w:t xml:space="preserve"> Defense Wins $74.2 Million Contract for U.S. Army's Next-Gen Nuclear, Biological and Chemical Reconnaissance Vehicle Sensor Suite Upgrade</w:t>
      </w:r>
    </w:p>
    <w:p w14:paraId="27955E39" w14:textId="77777777" w:rsidR="00336203" w:rsidRPr="00336203" w:rsidRDefault="00336203" w:rsidP="00336203"/>
    <w:p w14:paraId="21B80DDC" w14:textId="77777777" w:rsidR="00BD428A" w:rsidRPr="00BD428A" w:rsidRDefault="00BD428A" w:rsidP="00BD428A">
      <w:pPr>
        <w:rPr>
          <w:rFonts w:ascii="Times New Roman" w:hAnsi="Times New Roman" w:cs="Times New Roman"/>
        </w:rPr>
      </w:pPr>
    </w:p>
    <w:p w14:paraId="29F04254" w14:textId="77777777" w:rsidR="002A7EDA" w:rsidRPr="002A7EDA" w:rsidRDefault="002A7EDA" w:rsidP="002A7EDA">
      <w:pPr>
        <w:rPr>
          <w:rFonts w:ascii="Times New Roman" w:hAnsi="Times New Roman" w:cs="Times New Roman"/>
        </w:rPr>
      </w:pPr>
    </w:p>
    <w:p w14:paraId="520D87A5" w14:textId="77777777" w:rsidR="00654F2A" w:rsidRPr="00F51A95" w:rsidRDefault="00654F2A" w:rsidP="00654F2A"/>
    <w:p w14:paraId="61A731B6" w14:textId="77777777" w:rsidR="00A71C21" w:rsidRPr="00F51A95" w:rsidRDefault="00A71C21" w:rsidP="00A71C21"/>
    <w:p w14:paraId="49FF44ED" w14:textId="77777777" w:rsidR="00AC7F6A" w:rsidRPr="00BC0D8E" w:rsidRDefault="00AC7F6A">
      <w:pPr>
        <w:rPr>
          <w:rFonts w:ascii="Times New Roman" w:hAnsi="Times New Roman" w:cs="Times New Roman"/>
        </w:rPr>
      </w:pPr>
    </w:p>
    <w:sectPr w:rsidR="00AC7F6A" w:rsidRPr="00BC0D8E" w:rsidSect="008B733A">
      <w:headerReference w:type="default" r:id="rId21"/>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Lauren Hyde" w:date="2025-10-27T13:20:00Z" w:initials="LH">
    <w:p w14:paraId="41278168" w14:textId="77777777" w:rsidR="00E91032" w:rsidRDefault="00E91032" w:rsidP="00E91032">
      <w:pPr>
        <w:pStyle w:val="CommentText"/>
      </w:pPr>
      <w:r>
        <w:rPr>
          <w:rStyle w:val="CommentReference"/>
        </w:rPr>
        <w:annotationRef/>
      </w:r>
      <w:r>
        <w:t>I think we can put N/A here. Sounds like Guin/Decatur are primed for continued reinvestment in the plants but not necessarily a signal of expansion</w:t>
      </w:r>
    </w:p>
  </w:comment>
  <w:comment w:id="19" w:author="Lauren Hyde" w:date="2025-10-27T15:15:00Z" w:initials="LH">
    <w:p w14:paraId="738B5EF5" w14:textId="77777777" w:rsidR="004207F8" w:rsidRDefault="004207F8" w:rsidP="004207F8">
      <w:pPr>
        <w:pStyle w:val="CommentText"/>
      </w:pPr>
      <w:r>
        <w:rPr>
          <w:rStyle w:val="CommentReference"/>
        </w:rPr>
        <w:annotationRef/>
      </w:r>
      <w:r>
        <w:t>I think N/A may be appropriate here. No specific action at this moment</w:t>
      </w:r>
    </w:p>
  </w:comment>
  <w:comment w:id="38" w:author="Lauren Hyde" w:date="2025-10-28T09:51:00Z" w:initials="LH">
    <w:p w14:paraId="191590E8" w14:textId="77777777" w:rsidR="00B22B76" w:rsidRDefault="00B22B76" w:rsidP="00B22B76">
      <w:pPr>
        <w:pStyle w:val="CommentText"/>
      </w:pPr>
      <w:r>
        <w:rPr>
          <w:rStyle w:val="CommentReference"/>
        </w:rPr>
        <w:annotationRef/>
      </w:r>
      <w:r>
        <w:t>N/A</w:t>
      </w:r>
    </w:p>
  </w:comment>
  <w:comment w:id="49" w:author="Lauren Hyde" w:date="2025-10-28T12:22:00Z" w:initials="LH">
    <w:p w14:paraId="26704A83" w14:textId="77777777" w:rsidR="00014C60" w:rsidRDefault="00014C60" w:rsidP="00014C60">
      <w:pPr>
        <w:pStyle w:val="CommentText"/>
      </w:pPr>
      <w:r>
        <w:rPr>
          <w:rStyle w:val="CommentReference"/>
        </w:rPr>
        <w:annotationRef/>
      </w:r>
      <w:r>
        <w:t>I wonder if this should be negative. Not a lot going for the lumber market right now outside of the US South</w:t>
      </w:r>
    </w:p>
  </w:comment>
  <w:comment w:id="52" w:author="Lauren Hyde" w:date="2025-10-28T12:23:00Z" w:initials="LH">
    <w:p w14:paraId="7AFCF99C" w14:textId="77777777" w:rsidR="00EE5479" w:rsidRDefault="00EE5479" w:rsidP="00EE5479">
      <w:pPr>
        <w:pStyle w:val="CommentText"/>
      </w:pPr>
      <w:r>
        <w:rPr>
          <w:rStyle w:val="CommentReference"/>
        </w:rPr>
        <w:annotationRef/>
      </w:r>
      <w:r>
        <w:t>N/A – while Belk is well positioned, they’re not in a macro environment that supports investment/expansion</w:t>
      </w:r>
    </w:p>
  </w:comment>
  <w:comment w:id="72" w:author="Lauren Hyde" w:date="1900-01-01T00:00:00Z" w:initials="LH">
    <w:p w14:paraId="6B5CFBC2" w14:textId="15C73F11" w:rsidR="00C67C4C" w:rsidRDefault="00C67C4C">
      <w:pPr>
        <w:pStyle w:val="CommentText"/>
      </w:pPr>
      <w:r>
        <w:rPr>
          <w:rStyle w:val="CommentReference"/>
        </w:rPr>
        <w:annotationRef/>
      </w:r>
      <w:r w:rsidRPr="1545E09F">
        <w:t xml:space="preserve">Let’s update instructions to pull </w:t>
      </w:r>
      <w:r w:rsidRPr="57BAEF8A">
        <w:rPr>
          <w:b/>
          <w:bCs/>
          <w:color w:val="CCCCCC"/>
          <w:highlight w:val="black"/>
        </w:rPr>
        <w:t>TSE:5401</w:t>
      </w:r>
      <w:r w:rsidRPr="59D0E95D">
        <w:t xml:space="preserve">  and instruct the bot to focus on U.S. Steel and the Fairfield location</w:t>
      </w:r>
    </w:p>
  </w:comment>
  <w:comment w:id="93" w:author="Lauren Hyde" w:date="2025-10-28T13:34:00Z" w:initials="LH">
    <w:p w14:paraId="214FDC93" w14:textId="77777777" w:rsidR="00C57DA9" w:rsidRDefault="00C57DA9" w:rsidP="00C57DA9">
      <w:pPr>
        <w:pStyle w:val="CommentText"/>
      </w:pPr>
      <w:r>
        <w:rPr>
          <w:rStyle w:val="CommentReference"/>
        </w:rPr>
        <w:annotationRef/>
      </w:r>
      <w:r>
        <w:t>N/A</w:t>
      </w:r>
    </w:p>
  </w:comment>
  <w:comment w:id="100" w:author="Lauren Hyde" w:date="2025-10-28T13:40:00Z" w:initials="LH">
    <w:p w14:paraId="6621AC26" w14:textId="77777777" w:rsidR="00370900" w:rsidRDefault="00370900" w:rsidP="00370900">
      <w:pPr>
        <w:pStyle w:val="CommentText"/>
      </w:pPr>
      <w:r>
        <w:rPr>
          <w:rStyle w:val="CommentReference"/>
        </w:rPr>
        <w:annotationRef/>
      </w:r>
      <w:r>
        <w:t>Invests in brownfield expansions.</w:t>
      </w:r>
    </w:p>
  </w:comment>
  <w:comment w:id="101" w:author="Lauren Hyde" w:date="2025-10-28T13:37:00Z" w:initials="LH">
    <w:p w14:paraId="2A71F363" w14:textId="042AC9D4" w:rsidR="00A66D7A" w:rsidRDefault="00A66D7A" w:rsidP="00A66D7A">
      <w:pPr>
        <w:pStyle w:val="CommentText"/>
      </w:pPr>
      <w:r>
        <w:rPr>
          <w:rStyle w:val="CommentReference"/>
        </w:rPr>
        <w:annotationRef/>
      </w:r>
      <w:r>
        <w:t>Did any of these locations get specifically mentioned in the transcript or is this inferred?</w:t>
      </w:r>
    </w:p>
  </w:comment>
  <w:comment w:id="102" w:author="Jacob Lamb" w:date="2025-10-29T12:14:00Z" w:initials="JL">
    <w:p w14:paraId="609F6738" w14:textId="6AEC00D9" w:rsidR="00C67C4C" w:rsidRDefault="00C67C4C">
      <w:pPr>
        <w:pStyle w:val="CommentText"/>
      </w:pPr>
      <w:r>
        <w:rPr>
          <w:rStyle w:val="CommentReference"/>
        </w:rPr>
        <w:annotationRef/>
      </w:r>
      <w:r w:rsidRPr="09E45FB7">
        <w:t>inferred</w:t>
      </w:r>
    </w:p>
  </w:comment>
  <w:comment w:id="103" w:author="Lauren Hyde" w:date="2025-10-28T13:40:00Z" w:initials="LH">
    <w:p w14:paraId="7481FF5F" w14:textId="77777777" w:rsidR="00963BCD" w:rsidRDefault="00963BCD" w:rsidP="00963BCD">
      <w:pPr>
        <w:pStyle w:val="CommentText"/>
      </w:pPr>
      <w:r>
        <w:rPr>
          <w:rStyle w:val="CommentReference"/>
        </w:rPr>
        <w:annotationRef/>
      </w:r>
      <w:r>
        <w:t>Any specific plans mentioned?</w:t>
      </w:r>
    </w:p>
  </w:comment>
  <w:comment w:id="104" w:author="Jacob Lamb" w:date="2025-10-29T12:17:00Z" w:initials="JL">
    <w:p w14:paraId="325390E5" w14:textId="6B22C738" w:rsidR="00C67C4C" w:rsidRDefault="00C67C4C">
      <w:pPr>
        <w:pStyle w:val="CommentText"/>
      </w:pPr>
      <w:r>
        <w:rPr>
          <w:rStyle w:val="CommentReference"/>
        </w:rPr>
        <w:annotationRef/>
      </w:r>
      <w:r w:rsidRPr="4B1433D1">
        <w:t>no specifics given here by the company</w:t>
      </w:r>
    </w:p>
  </w:comment>
  <w:comment w:id="117" w:author="Lauren Hyde" w:date="2025-10-28T14:07:00Z" w:initials="LH">
    <w:p w14:paraId="4B2967FA" w14:textId="77777777" w:rsidR="001E3444" w:rsidRDefault="001E3444" w:rsidP="001E3444">
      <w:pPr>
        <w:pStyle w:val="CommentText"/>
      </w:pPr>
      <w:r>
        <w:rPr>
          <w:rStyle w:val="CommentReference"/>
        </w:rPr>
        <w:annotationRef/>
      </w:r>
      <w:r>
        <w:t>N/A</w:t>
      </w:r>
    </w:p>
  </w:comment>
  <w:comment w:id="130" w:author="Lauren Hyde" w:date="2025-10-28T14:30:00Z" w:initials="LH">
    <w:p w14:paraId="46B91998" w14:textId="77777777" w:rsidR="007E0AEB" w:rsidRDefault="007E0AEB" w:rsidP="007E0AEB">
      <w:pPr>
        <w:pStyle w:val="CommentText"/>
      </w:pPr>
      <w:r>
        <w:rPr>
          <w:rStyle w:val="CommentReference"/>
        </w:rPr>
        <w:annotationRef/>
      </w:r>
      <w:r>
        <w:t>Monitor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278168" w15:done="1"/>
  <w15:commentEx w15:paraId="738B5EF5" w15:done="1"/>
  <w15:commentEx w15:paraId="191590E8" w15:done="1"/>
  <w15:commentEx w15:paraId="26704A83" w15:done="1"/>
  <w15:commentEx w15:paraId="7AFCF99C" w15:done="1"/>
  <w15:commentEx w15:paraId="6B5CFBC2" w15:done="1"/>
  <w15:commentEx w15:paraId="214FDC93" w15:done="1"/>
  <w15:commentEx w15:paraId="6621AC26" w15:done="1"/>
  <w15:commentEx w15:paraId="2A71F363" w15:done="1"/>
  <w15:commentEx w15:paraId="609F6738" w15:paraIdParent="2A71F363" w15:done="1"/>
  <w15:commentEx w15:paraId="7481FF5F" w15:done="1"/>
  <w15:commentEx w15:paraId="325390E5" w15:paraIdParent="7481FF5F" w15:done="1"/>
  <w15:commentEx w15:paraId="4B2967FA" w15:done="1"/>
  <w15:commentEx w15:paraId="46B919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5C9D2" w16cex:dateUtc="2025-10-27T18:20:00Z"/>
  <w16cex:commentExtensible w16cex:durableId="13A3083E" w16cex:dateUtc="2025-10-27T20:15:00Z"/>
  <w16cex:commentExtensible w16cex:durableId="2FCF96F0" w16cex:dateUtc="2025-10-28T14:51:00Z"/>
  <w16cex:commentExtensible w16cex:durableId="03955E85" w16cex:dateUtc="2025-10-28T17:22:00Z"/>
  <w16cex:commentExtensible w16cex:durableId="68FA58B8" w16cex:dateUtc="2025-10-28T17:23:00Z"/>
  <w16cex:commentExtensible w16cex:durableId="77107736" w16cex:dateUtc="2025-10-28T19:48:00Z"/>
  <w16cex:commentExtensible w16cex:durableId="02C30601" w16cex:dateUtc="2025-10-28T18:34:00Z"/>
  <w16cex:commentExtensible w16cex:durableId="05D9A034" w16cex:dateUtc="2025-10-28T18:40:00Z"/>
  <w16cex:commentExtensible w16cex:durableId="75CEB6FA" w16cex:dateUtc="2025-10-28T18:37:00Z"/>
  <w16cex:commentExtensible w16cex:durableId="323D9055" w16cex:dateUtc="2025-10-29T17:14:00Z"/>
  <w16cex:commentExtensible w16cex:durableId="6D5A7B0F" w16cex:dateUtc="2025-10-28T18:40:00Z"/>
  <w16cex:commentExtensible w16cex:durableId="11C0D412" w16cex:dateUtc="2025-10-29T17:17:00Z"/>
  <w16cex:commentExtensible w16cex:durableId="09EB5299" w16cex:dateUtc="2025-10-28T19:07:00Z"/>
  <w16cex:commentExtensible w16cex:durableId="02F8F792" w16cex:dateUtc="2025-10-28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78168" w16cid:durableId="70B5C9D2"/>
  <w16cid:commentId w16cid:paraId="738B5EF5" w16cid:durableId="13A3083E"/>
  <w16cid:commentId w16cid:paraId="191590E8" w16cid:durableId="2FCF96F0"/>
  <w16cid:commentId w16cid:paraId="26704A83" w16cid:durableId="03955E85"/>
  <w16cid:commentId w16cid:paraId="7AFCF99C" w16cid:durableId="68FA58B8"/>
  <w16cid:commentId w16cid:paraId="6B5CFBC2" w16cid:durableId="77107736"/>
  <w16cid:commentId w16cid:paraId="214FDC93" w16cid:durableId="02C30601"/>
  <w16cid:commentId w16cid:paraId="6621AC26" w16cid:durableId="05D9A034"/>
  <w16cid:commentId w16cid:paraId="2A71F363" w16cid:durableId="75CEB6FA"/>
  <w16cid:commentId w16cid:paraId="609F6738" w16cid:durableId="323D9055"/>
  <w16cid:commentId w16cid:paraId="7481FF5F" w16cid:durableId="6D5A7B0F"/>
  <w16cid:commentId w16cid:paraId="325390E5" w16cid:durableId="11C0D412"/>
  <w16cid:commentId w16cid:paraId="4B2967FA" w16cid:durableId="09EB5299"/>
  <w16cid:commentId w16cid:paraId="46B91998" w16cid:durableId="02F8F7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E4F1" w14:textId="77777777" w:rsidR="005C2538" w:rsidRDefault="005C2538">
      <w:pPr>
        <w:spacing w:after="0" w:line="240" w:lineRule="auto"/>
      </w:pPr>
      <w:r>
        <w:separator/>
      </w:r>
    </w:p>
  </w:endnote>
  <w:endnote w:type="continuationSeparator" w:id="0">
    <w:p w14:paraId="34FE63B1" w14:textId="77777777" w:rsidR="005C2538" w:rsidRDefault="005C2538">
      <w:pPr>
        <w:spacing w:after="0" w:line="240" w:lineRule="auto"/>
      </w:pPr>
      <w:r>
        <w:continuationSeparator/>
      </w:r>
    </w:p>
  </w:endnote>
  <w:endnote w:type="continuationNotice" w:id="1">
    <w:p w14:paraId="1744FF55" w14:textId="77777777" w:rsidR="005C2538" w:rsidRDefault="005C2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291410"/>
      <w:docPartObj>
        <w:docPartGallery w:val="Page Numbers (Bottom of Page)"/>
        <w:docPartUnique/>
      </w:docPartObj>
    </w:sdtPr>
    <w:sdtEndPr>
      <w:rPr>
        <w:noProof/>
      </w:rPr>
    </w:sdtEndPr>
    <w:sdtContent>
      <w:p w14:paraId="2F327ABC" w14:textId="4A2A87B8" w:rsidR="00220604" w:rsidRDefault="002206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A66D53" w14:textId="2ACFAF66" w:rsidR="3CA273EB" w:rsidRDefault="3CA273EB" w:rsidP="3CA27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43391"/>
      <w:docPartObj>
        <w:docPartGallery w:val="Page Numbers (Bottom of Page)"/>
        <w:docPartUnique/>
      </w:docPartObj>
    </w:sdtPr>
    <w:sdtEndPr>
      <w:rPr>
        <w:noProof/>
      </w:rPr>
    </w:sdtEndPr>
    <w:sdtContent>
      <w:p w14:paraId="687CAB77" w14:textId="4EA0D6F7" w:rsidR="00E16176" w:rsidRDefault="00E161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66FFF9" w14:textId="66A33B31" w:rsidR="3CA273EB" w:rsidRDefault="3CA273EB" w:rsidP="3CA27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9500" w14:textId="77777777" w:rsidR="005C2538" w:rsidRDefault="005C2538">
      <w:pPr>
        <w:spacing w:after="0" w:line="240" w:lineRule="auto"/>
      </w:pPr>
      <w:r>
        <w:separator/>
      </w:r>
    </w:p>
  </w:footnote>
  <w:footnote w:type="continuationSeparator" w:id="0">
    <w:p w14:paraId="611B2221" w14:textId="77777777" w:rsidR="005C2538" w:rsidRDefault="005C2538">
      <w:pPr>
        <w:spacing w:after="0" w:line="240" w:lineRule="auto"/>
      </w:pPr>
      <w:r>
        <w:continuationSeparator/>
      </w:r>
    </w:p>
  </w:footnote>
  <w:footnote w:type="continuationNotice" w:id="1">
    <w:p w14:paraId="3B9FAB7F" w14:textId="77777777" w:rsidR="005C2538" w:rsidRDefault="005C25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CA273EB" w14:paraId="72CAF0E6" w14:textId="77777777" w:rsidTr="3CA273EB">
      <w:trPr>
        <w:trHeight w:val="300"/>
      </w:trPr>
      <w:tc>
        <w:tcPr>
          <w:tcW w:w="3120" w:type="dxa"/>
        </w:tcPr>
        <w:p w14:paraId="5A0351F2" w14:textId="3AF13573" w:rsidR="3CA273EB" w:rsidRDefault="3CA273EB" w:rsidP="3CA273EB">
          <w:pPr>
            <w:pStyle w:val="Header"/>
            <w:ind w:left="-115"/>
          </w:pPr>
        </w:p>
      </w:tc>
      <w:tc>
        <w:tcPr>
          <w:tcW w:w="3120" w:type="dxa"/>
        </w:tcPr>
        <w:p w14:paraId="637ED251" w14:textId="59D3C367" w:rsidR="3CA273EB" w:rsidRDefault="3CA273EB" w:rsidP="3CA273EB">
          <w:pPr>
            <w:pStyle w:val="Header"/>
            <w:jc w:val="center"/>
          </w:pPr>
        </w:p>
      </w:tc>
      <w:tc>
        <w:tcPr>
          <w:tcW w:w="3120" w:type="dxa"/>
        </w:tcPr>
        <w:p w14:paraId="70DAC9F6" w14:textId="7F41E7C4" w:rsidR="3CA273EB" w:rsidRDefault="3CA273EB" w:rsidP="3CA273EB">
          <w:pPr>
            <w:pStyle w:val="Header"/>
            <w:ind w:right="-115"/>
            <w:jc w:val="right"/>
          </w:pPr>
        </w:p>
      </w:tc>
    </w:tr>
  </w:tbl>
  <w:p w14:paraId="47749B00" w14:textId="70B7ECD6" w:rsidR="3CA273EB" w:rsidRDefault="3CA273EB" w:rsidP="3CA27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CA273EB" w14:paraId="399F6FB1" w14:textId="77777777" w:rsidTr="3CA273EB">
      <w:trPr>
        <w:trHeight w:val="300"/>
      </w:trPr>
      <w:tc>
        <w:tcPr>
          <w:tcW w:w="3120" w:type="dxa"/>
        </w:tcPr>
        <w:p w14:paraId="026566E9" w14:textId="6464A38A" w:rsidR="3CA273EB" w:rsidRDefault="3CA273EB" w:rsidP="3CA273EB">
          <w:pPr>
            <w:pStyle w:val="Header"/>
            <w:ind w:left="-115"/>
          </w:pPr>
        </w:p>
      </w:tc>
      <w:tc>
        <w:tcPr>
          <w:tcW w:w="3120" w:type="dxa"/>
        </w:tcPr>
        <w:p w14:paraId="738B733A" w14:textId="156BA9B8" w:rsidR="3CA273EB" w:rsidRDefault="3CA273EB" w:rsidP="3CA273EB">
          <w:pPr>
            <w:pStyle w:val="Header"/>
            <w:jc w:val="center"/>
          </w:pPr>
        </w:p>
      </w:tc>
      <w:tc>
        <w:tcPr>
          <w:tcW w:w="3120" w:type="dxa"/>
        </w:tcPr>
        <w:p w14:paraId="0E552E8E" w14:textId="32335202" w:rsidR="3CA273EB" w:rsidRDefault="3CA273EB" w:rsidP="3CA273EB">
          <w:pPr>
            <w:pStyle w:val="Header"/>
            <w:ind w:right="-115"/>
            <w:jc w:val="right"/>
          </w:pPr>
        </w:p>
      </w:tc>
    </w:tr>
  </w:tbl>
  <w:p w14:paraId="7E0A2452" w14:textId="0B7ECE52" w:rsidR="3CA273EB" w:rsidRDefault="3CA273EB" w:rsidP="3CA27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CA273EB" w14:paraId="5062F029" w14:textId="77777777" w:rsidTr="3CA273EB">
      <w:trPr>
        <w:trHeight w:val="300"/>
      </w:trPr>
      <w:tc>
        <w:tcPr>
          <w:tcW w:w="3120" w:type="dxa"/>
        </w:tcPr>
        <w:p w14:paraId="651F7999" w14:textId="6A569F0E" w:rsidR="3CA273EB" w:rsidRDefault="3CA273EB" w:rsidP="3CA273EB">
          <w:pPr>
            <w:pStyle w:val="Header"/>
            <w:ind w:left="-115"/>
          </w:pPr>
        </w:p>
      </w:tc>
      <w:tc>
        <w:tcPr>
          <w:tcW w:w="3120" w:type="dxa"/>
        </w:tcPr>
        <w:p w14:paraId="58C45F57" w14:textId="791304F2" w:rsidR="3CA273EB" w:rsidRDefault="3CA273EB" w:rsidP="3CA273EB">
          <w:pPr>
            <w:pStyle w:val="Header"/>
            <w:jc w:val="center"/>
          </w:pPr>
        </w:p>
      </w:tc>
      <w:tc>
        <w:tcPr>
          <w:tcW w:w="3120" w:type="dxa"/>
        </w:tcPr>
        <w:p w14:paraId="07143BE7" w14:textId="3F085AA8" w:rsidR="3CA273EB" w:rsidRDefault="3CA273EB" w:rsidP="3CA273EB">
          <w:pPr>
            <w:pStyle w:val="Header"/>
            <w:ind w:right="-115"/>
            <w:jc w:val="right"/>
          </w:pPr>
        </w:p>
      </w:tc>
    </w:tr>
  </w:tbl>
  <w:p w14:paraId="03626500" w14:textId="40F8FB9A" w:rsidR="3CA273EB" w:rsidRDefault="3CA273EB" w:rsidP="3CA27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CA273EB" w14:paraId="6FAC2477" w14:textId="77777777" w:rsidTr="3CA273EB">
      <w:trPr>
        <w:trHeight w:val="300"/>
      </w:trPr>
      <w:tc>
        <w:tcPr>
          <w:tcW w:w="3120" w:type="dxa"/>
        </w:tcPr>
        <w:p w14:paraId="435D04C1" w14:textId="07FEE584" w:rsidR="3CA273EB" w:rsidRDefault="3CA273EB" w:rsidP="3CA273EB">
          <w:pPr>
            <w:pStyle w:val="Header"/>
            <w:ind w:left="-115"/>
          </w:pPr>
        </w:p>
      </w:tc>
      <w:tc>
        <w:tcPr>
          <w:tcW w:w="3120" w:type="dxa"/>
        </w:tcPr>
        <w:p w14:paraId="16D6F52C" w14:textId="04BE2E8C" w:rsidR="3CA273EB" w:rsidRDefault="3CA273EB" w:rsidP="3CA273EB">
          <w:pPr>
            <w:pStyle w:val="Header"/>
            <w:jc w:val="center"/>
          </w:pPr>
        </w:p>
      </w:tc>
      <w:tc>
        <w:tcPr>
          <w:tcW w:w="3120" w:type="dxa"/>
        </w:tcPr>
        <w:p w14:paraId="5C00CB31" w14:textId="114B2440" w:rsidR="3CA273EB" w:rsidRDefault="3CA273EB" w:rsidP="3CA273EB">
          <w:pPr>
            <w:pStyle w:val="Header"/>
            <w:ind w:right="-115"/>
            <w:jc w:val="right"/>
          </w:pPr>
        </w:p>
      </w:tc>
    </w:tr>
  </w:tbl>
  <w:p w14:paraId="54CEFC89" w14:textId="1FD44B56" w:rsidR="3CA273EB" w:rsidRDefault="3CA273EB" w:rsidP="3CA273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CA273EB" w14:paraId="10C55E90" w14:textId="77777777" w:rsidTr="3CA273EB">
      <w:trPr>
        <w:trHeight w:val="300"/>
      </w:trPr>
      <w:tc>
        <w:tcPr>
          <w:tcW w:w="3120" w:type="dxa"/>
        </w:tcPr>
        <w:p w14:paraId="4405C889" w14:textId="5B508EDF" w:rsidR="3CA273EB" w:rsidRDefault="3CA273EB" w:rsidP="3CA273EB">
          <w:pPr>
            <w:pStyle w:val="Header"/>
            <w:ind w:left="-115"/>
          </w:pPr>
        </w:p>
      </w:tc>
      <w:tc>
        <w:tcPr>
          <w:tcW w:w="3120" w:type="dxa"/>
        </w:tcPr>
        <w:p w14:paraId="72C28E60" w14:textId="17BC191F" w:rsidR="3CA273EB" w:rsidRDefault="3CA273EB" w:rsidP="3CA273EB">
          <w:pPr>
            <w:pStyle w:val="Header"/>
            <w:jc w:val="center"/>
          </w:pPr>
        </w:p>
      </w:tc>
      <w:tc>
        <w:tcPr>
          <w:tcW w:w="3120" w:type="dxa"/>
        </w:tcPr>
        <w:p w14:paraId="4C46836B" w14:textId="38C976EA" w:rsidR="3CA273EB" w:rsidRDefault="3CA273EB" w:rsidP="3CA273EB">
          <w:pPr>
            <w:pStyle w:val="Header"/>
            <w:ind w:right="-115"/>
            <w:jc w:val="right"/>
          </w:pPr>
        </w:p>
      </w:tc>
    </w:tr>
  </w:tbl>
  <w:p w14:paraId="26979257" w14:textId="00CB8345" w:rsidR="3CA273EB" w:rsidRDefault="3CA273EB" w:rsidP="3CA27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282"/>
    <w:multiLevelType w:val="multilevel"/>
    <w:tmpl w:val="64E6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646B9"/>
    <w:multiLevelType w:val="multilevel"/>
    <w:tmpl w:val="E9BE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03022"/>
    <w:multiLevelType w:val="multilevel"/>
    <w:tmpl w:val="94F02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A6C9A"/>
    <w:multiLevelType w:val="multilevel"/>
    <w:tmpl w:val="29FE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43DE5"/>
    <w:multiLevelType w:val="multilevel"/>
    <w:tmpl w:val="9232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82D8F"/>
    <w:multiLevelType w:val="multilevel"/>
    <w:tmpl w:val="F894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7747E"/>
    <w:multiLevelType w:val="multilevel"/>
    <w:tmpl w:val="94C8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07612"/>
    <w:multiLevelType w:val="multilevel"/>
    <w:tmpl w:val="A80A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61931"/>
    <w:multiLevelType w:val="multilevel"/>
    <w:tmpl w:val="3D24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55DFB"/>
    <w:multiLevelType w:val="multilevel"/>
    <w:tmpl w:val="3C80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F7D72"/>
    <w:multiLevelType w:val="multilevel"/>
    <w:tmpl w:val="BDD0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E266B"/>
    <w:multiLevelType w:val="multilevel"/>
    <w:tmpl w:val="391E7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34C8E"/>
    <w:multiLevelType w:val="multilevel"/>
    <w:tmpl w:val="74661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094D5B"/>
    <w:multiLevelType w:val="multilevel"/>
    <w:tmpl w:val="B644E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8A0A7C"/>
    <w:multiLevelType w:val="multilevel"/>
    <w:tmpl w:val="BF92C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346B70"/>
    <w:multiLevelType w:val="multilevel"/>
    <w:tmpl w:val="03ECB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C04C9E"/>
    <w:multiLevelType w:val="multilevel"/>
    <w:tmpl w:val="39D03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34264"/>
    <w:multiLevelType w:val="multilevel"/>
    <w:tmpl w:val="4CEA0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620B78"/>
    <w:multiLevelType w:val="multilevel"/>
    <w:tmpl w:val="73CE2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6D3929"/>
    <w:multiLevelType w:val="multilevel"/>
    <w:tmpl w:val="0F00E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BC3B71"/>
    <w:multiLevelType w:val="multilevel"/>
    <w:tmpl w:val="236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05B25F"/>
    <w:multiLevelType w:val="hybridMultilevel"/>
    <w:tmpl w:val="FFFFFFFF"/>
    <w:lvl w:ilvl="0" w:tplc="F4DC34F0">
      <w:start w:val="1"/>
      <w:numFmt w:val="bullet"/>
      <w:lvlText w:val=""/>
      <w:lvlJc w:val="left"/>
      <w:pPr>
        <w:ind w:left="720" w:hanging="360"/>
      </w:pPr>
      <w:rPr>
        <w:rFonts w:ascii="Symbol" w:hAnsi="Symbol" w:hint="default"/>
      </w:rPr>
    </w:lvl>
    <w:lvl w:ilvl="1" w:tplc="29202048">
      <w:start w:val="1"/>
      <w:numFmt w:val="bullet"/>
      <w:lvlText w:val="o"/>
      <w:lvlJc w:val="left"/>
      <w:pPr>
        <w:ind w:left="1440" w:hanging="360"/>
      </w:pPr>
      <w:rPr>
        <w:rFonts w:ascii="Courier New" w:hAnsi="Courier New" w:hint="default"/>
      </w:rPr>
    </w:lvl>
    <w:lvl w:ilvl="2" w:tplc="B7C22770">
      <w:start w:val="1"/>
      <w:numFmt w:val="bullet"/>
      <w:lvlText w:val=""/>
      <w:lvlJc w:val="left"/>
      <w:pPr>
        <w:ind w:left="2160" w:hanging="360"/>
      </w:pPr>
      <w:rPr>
        <w:rFonts w:ascii="Wingdings" w:hAnsi="Wingdings" w:hint="default"/>
      </w:rPr>
    </w:lvl>
    <w:lvl w:ilvl="3" w:tplc="4288CBBC">
      <w:start w:val="1"/>
      <w:numFmt w:val="bullet"/>
      <w:lvlText w:val=""/>
      <w:lvlJc w:val="left"/>
      <w:pPr>
        <w:ind w:left="2880" w:hanging="360"/>
      </w:pPr>
      <w:rPr>
        <w:rFonts w:ascii="Symbol" w:hAnsi="Symbol" w:hint="default"/>
      </w:rPr>
    </w:lvl>
    <w:lvl w:ilvl="4" w:tplc="9A484C6E">
      <w:start w:val="1"/>
      <w:numFmt w:val="bullet"/>
      <w:lvlText w:val="o"/>
      <w:lvlJc w:val="left"/>
      <w:pPr>
        <w:ind w:left="3600" w:hanging="360"/>
      </w:pPr>
      <w:rPr>
        <w:rFonts w:ascii="Courier New" w:hAnsi="Courier New" w:hint="default"/>
      </w:rPr>
    </w:lvl>
    <w:lvl w:ilvl="5" w:tplc="7518A9B6">
      <w:start w:val="1"/>
      <w:numFmt w:val="bullet"/>
      <w:lvlText w:val=""/>
      <w:lvlJc w:val="left"/>
      <w:pPr>
        <w:ind w:left="4320" w:hanging="360"/>
      </w:pPr>
      <w:rPr>
        <w:rFonts w:ascii="Wingdings" w:hAnsi="Wingdings" w:hint="default"/>
      </w:rPr>
    </w:lvl>
    <w:lvl w:ilvl="6" w:tplc="55AC428C">
      <w:start w:val="1"/>
      <w:numFmt w:val="bullet"/>
      <w:lvlText w:val=""/>
      <w:lvlJc w:val="left"/>
      <w:pPr>
        <w:ind w:left="5040" w:hanging="360"/>
      </w:pPr>
      <w:rPr>
        <w:rFonts w:ascii="Symbol" w:hAnsi="Symbol" w:hint="default"/>
      </w:rPr>
    </w:lvl>
    <w:lvl w:ilvl="7" w:tplc="4A10DDDA">
      <w:start w:val="1"/>
      <w:numFmt w:val="bullet"/>
      <w:lvlText w:val="o"/>
      <w:lvlJc w:val="left"/>
      <w:pPr>
        <w:ind w:left="5760" w:hanging="360"/>
      </w:pPr>
      <w:rPr>
        <w:rFonts w:ascii="Courier New" w:hAnsi="Courier New" w:hint="default"/>
      </w:rPr>
    </w:lvl>
    <w:lvl w:ilvl="8" w:tplc="B1DE382E">
      <w:start w:val="1"/>
      <w:numFmt w:val="bullet"/>
      <w:lvlText w:val=""/>
      <w:lvlJc w:val="left"/>
      <w:pPr>
        <w:ind w:left="6480" w:hanging="360"/>
      </w:pPr>
      <w:rPr>
        <w:rFonts w:ascii="Wingdings" w:hAnsi="Wingdings" w:hint="default"/>
      </w:rPr>
    </w:lvl>
  </w:abstractNum>
  <w:abstractNum w:abstractNumId="22" w15:restartNumberingAfterBreak="0">
    <w:nsid w:val="240C0D27"/>
    <w:multiLevelType w:val="multilevel"/>
    <w:tmpl w:val="671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0F0EAF"/>
    <w:multiLevelType w:val="multilevel"/>
    <w:tmpl w:val="20DE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655EDE"/>
    <w:multiLevelType w:val="multilevel"/>
    <w:tmpl w:val="710A2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8106C7"/>
    <w:multiLevelType w:val="multilevel"/>
    <w:tmpl w:val="6A56F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625771"/>
    <w:multiLevelType w:val="multilevel"/>
    <w:tmpl w:val="B8B2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6F0E99"/>
    <w:multiLevelType w:val="multilevel"/>
    <w:tmpl w:val="5C96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5355E9"/>
    <w:multiLevelType w:val="multilevel"/>
    <w:tmpl w:val="405A2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302FF0"/>
    <w:multiLevelType w:val="hybridMultilevel"/>
    <w:tmpl w:val="FFFFFFFF"/>
    <w:lvl w:ilvl="0" w:tplc="D178679A">
      <w:start w:val="1"/>
      <w:numFmt w:val="bullet"/>
      <w:lvlText w:val=""/>
      <w:lvlJc w:val="left"/>
      <w:pPr>
        <w:ind w:left="720" w:hanging="360"/>
      </w:pPr>
      <w:rPr>
        <w:rFonts w:ascii="Symbol" w:hAnsi="Symbol" w:hint="default"/>
      </w:rPr>
    </w:lvl>
    <w:lvl w:ilvl="1" w:tplc="066E1CF6">
      <w:start w:val="1"/>
      <w:numFmt w:val="bullet"/>
      <w:lvlText w:val="o"/>
      <w:lvlJc w:val="left"/>
      <w:pPr>
        <w:ind w:left="1440" w:hanging="360"/>
      </w:pPr>
      <w:rPr>
        <w:rFonts w:ascii="Courier New" w:hAnsi="Courier New" w:hint="default"/>
      </w:rPr>
    </w:lvl>
    <w:lvl w:ilvl="2" w:tplc="4CDE5DF0">
      <w:start w:val="1"/>
      <w:numFmt w:val="bullet"/>
      <w:lvlText w:val=""/>
      <w:lvlJc w:val="left"/>
      <w:pPr>
        <w:ind w:left="2160" w:hanging="360"/>
      </w:pPr>
      <w:rPr>
        <w:rFonts w:ascii="Wingdings" w:hAnsi="Wingdings" w:hint="default"/>
      </w:rPr>
    </w:lvl>
    <w:lvl w:ilvl="3" w:tplc="148A64B0">
      <w:start w:val="1"/>
      <w:numFmt w:val="bullet"/>
      <w:lvlText w:val=""/>
      <w:lvlJc w:val="left"/>
      <w:pPr>
        <w:ind w:left="2880" w:hanging="360"/>
      </w:pPr>
      <w:rPr>
        <w:rFonts w:ascii="Symbol" w:hAnsi="Symbol" w:hint="default"/>
      </w:rPr>
    </w:lvl>
    <w:lvl w:ilvl="4" w:tplc="0C7C70E2">
      <w:start w:val="1"/>
      <w:numFmt w:val="bullet"/>
      <w:lvlText w:val="o"/>
      <w:lvlJc w:val="left"/>
      <w:pPr>
        <w:ind w:left="3600" w:hanging="360"/>
      </w:pPr>
      <w:rPr>
        <w:rFonts w:ascii="Courier New" w:hAnsi="Courier New" w:hint="default"/>
      </w:rPr>
    </w:lvl>
    <w:lvl w:ilvl="5" w:tplc="140C6CA8">
      <w:start w:val="1"/>
      <w:numFmt w:val="bullet"/>
      <w:lvlText w:val=""/>
      <w:lvlJc w:val="left"/>
      <w:pPr>
        <w:ind w:left="4320" w:hanging="360"/>
      </w:pPr>
      <w:rPr>
        <w:rFonts w:ascii="Wingdings" w:hAnsi="Wingdings" w:hint="default"/>
      </w:rPr>
    </w:lvl>
    <w:lvl w:ilvl="6" w:tplc="DEEA463E">
      <w:start w:val="1"/>
      <w:numFmt w:val="bullet"/>
      <w:lvlText w:val=""/>
      <w:lvlJc w:val="left"/>
      <w:pPr>
        <w:ind w:left="5040" w:hanging="360"/>
      </w:pPr>
      <w:rPr>
        <w:rFonts w:ascii="Symbol" w:hAnsi="Symbol" w:hint="default"/>
      </w:rPr>
    </w:lvl>
    <w:lvl w:ilvl="7" w:tplc="41A0193A">
      <w:start w:val="1"/>
      <w:numFmt w:val="bullet"/>
      <w:lvlText w:val="o"/>
      <w:lvlJc w:val="left"/>
      <w:pPr>
        <w:ind w:left="5760" w:hanging="360"/>
      </w:pPr>
      <w:rPr>
        <w:rFonts w:ascii="Courier New" w:hAnsi="Courier New" w:hint="default"/>
      </w:rPr>
    </w:lvl>
    <w:lvl w:ilvl="8" w:tplc="436E6178">
      <w:start w:val="1"/>
      <w:numFmt w:val="bullet"/>
      <w:lvlText w:val=""/>
      <w:lvlJc w:val="left"/>
      <w:pPr>
        <w:ind w:left="6480" w:hanging="360"/>
      </w:pPr>
      <w:rPr>
        <w:rFonts w:ascii="Wingdings" w:hAnsi="Wingdings" w:hint="default"/>
      </w:rPr>
    </w:lvl>
  </w:abstractNum>
  <w:abstractNum w:abstractNumId="30" w15:restartNumberingAfterBreak="0">
    <w:nsid w:val="2E5B1F8F"/>
    <w:multiLevelType w:val="multilevel"/>
    <w:tmpl w:val="CA3A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8606FD"/>
    <w:multiLevelType w:val="multilevel"/>
    <w:tmpl w:val="7F6E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E6779B"/>
    <w:multiLevelType w:val="multilevel"/>
    <w:tmpl w:val="70F0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2B31A3"/>
    <w:multiLevelType w:val="multilevel"/>
    <w:tmpl w:val="F10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C72EB4"/>
    <w:multiLevelType w:val="multilevel"/>
    <w:tmpl w:val="DDE6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083DD6"/>
    <w:multiLevelType w:val="multilevel"/>
    <w:tmpl w:val="E546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1A7BC1"/>
    <w:multiLevelType w:val="multilevel"/>
    <w:tmpl w:val="CB62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EA1D11"/>
    <w:multiLevelType w:val="multilevel"/>
    <w:tmpl w:val="8DEAC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1B7AEB"/>
    <w:multiLevelType w:val="multilevel"/>
    <w:tmpl w:val="DD72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EA7FCF"/>
    <w:multiLevelType w:val="multilevel"/>
    <w:tmpl w:val="E9E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D34749"/>
    <w:multiLevelType w:val="multilevel"/>
    <w:tmpl w:val="1252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97611F"/>
    <w:multiLevelType w:val="multilevel"/>
    <w:tmpl w:val="5AF2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192B26"/>
    <w:multiLevelType w:val="multilevel"/>
    <w:tmpl w:val="253E2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F62A98"/>
    <w:multiLevelType w:val="multilevel"/>
    <w:tmpl w:val="72FC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0B3E3B"/>
    <w:multiLevelType w:val="multilevel"/>
    <w:tmpl w:val="19A06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234FEA"/>
    <w:multiLevelType w:val="multilevel"/>
    <w:tmpl w:val="25407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612BF6"/>
    <w:multiLevelType w:val="multilevel"/>
    <w:tmpl w:val="49746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BD737B"/>
    <w:multiLevelType w:val="multilevel"/>
    <w:tmpl w:val="2A22E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E16052"/>
    <w:multiLevelType w:val="multilevel"/>
    <w:tmpl w:val="0A0A9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495368"/>
    <w:multiLevelType w:val="multilevel"/>
    <w:tmpl w:val="EE7E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4D69EB"/>
    <w:multiLevelType w:val="multilevel"/>
    <w:tmpl w:val="51000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9E0370"/>
    <w:multiLevelType w:val="multilevel"/>
    <w:tmpl w:val="3408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AD0B35"/>
    <w:multiLevelType w:val="multilevel"/>
    <w:tmpl w:val="571E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EA3860"/>
    <w:multiLevelType w:val="multilevel"/>
    <w:tmpl w:val="D024A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343438"/>
    <w:multiLevelType w:val="multilevel"/>
    <w:tmpl w:val="F3047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9B1650"/>
    <w:multiLevelType w:val="multilevel"/>
    <w:tmpl w:val="3C06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E47A65"/>
    <w:multiLevelType w:val="multilevel"/>
    <w:tmpl w:val="A6AA7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F73AFF"/>
    <w:multiLevelType w:val="multilevel"/>
    <w:tmpl w:val="22685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6A0CCF"/>
    <w:multiLevelType w:val="multilevel"/>
    <w:tmpl w:val="1F14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B5107F"/>
    <w:multiLevelType w:val="multilevel"/>
    <w:tmpl w:val="25DC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76B3CC"/>
    <w:multiLevelType w:val="hybridMultilevel"/>
    <w:tmpl w:val="FFFFFFFF"/>
    <w:lvl w:ilvl="0" w:tplc="A35A662E">
      <w:start w:val="1"/>
      <w:numFmt w:val="bullet"/>
      <w:lvlText w:val=""/>
      <w:lvlJc w:val="left"/>
      <w:pPr>
        <w:ind w:left="720" w:hanging="360"/>
      </w:pPr>
      <w:rPr>
        <w:rFonts w:ascii="Symbol" w:hAnsi="Symbol" w:hint="default"/>
      </w:rPr>
    </w:lvl>
    <w:lvl w:ilvl="1" w:tplc="76B223AE">
      <w:start w:val="1"/>
      <w:numFmt w:val="bullet"/>
      <w:lvlText w:val="o"/>
      <w:lvlJc w:val="left"/>
      <w:pPr>
        <w:ind w:left="1440" w:hanging="360"/>
      </w:pPr>
      <w:rPr>
        <w:rFonts w:ascii="Courier New" w:hAnsi="Courier New" w:hint="default"/>
      </w:rPr>
    </w:lvl>
    <w:lvl w:ilvl="2" w:tplc="2BB06006">
      <w:start w:val="1"/>
      <w:numFmt w:val="bullet"/>
      <w:lvlText w:val=""/>
      <w:lvlJc w:val="left"/>
      <w:pPr>
        <w:ind w:left="2160" w:hanging="360"/>
      </w:pPr>
      <w:rPr>
        <w:rFonts w:ascii="Wingdings" w:hAnsi="Wingdings" w:hint="default"/>
      </w:rPr>
    </w:lvl>
    <w:lvl w:ilvl="3" w:tplc="5F9E892C">
      <w:start w:val="1"/>
      <w:numFmt w:val="bullet"/>
      <w:lvlText w:val=""/>
      <w:lvlJc w:val="left"/>
      <w:pPr>
        <w:ind w:left="2880" w:hanging="360"/>
      </w:pPr>
      <w:rPr>
        <w:rFonts w:ascii="Symbol" w:hAnsi="Symbol" w:hint="default"/>
      </w:rPr>
    </w:lvl>
    <w:lvl w:ilvl="4" w:tplc="DA3A7C88">
      <w:start w:val="1"/>
      <w:numFmt w:val="bullet"/>
      <w:lvlText w:val="o"/>
      <w:lvlJc w:val="left"/>
      <w:pPr>
        <w:ind w:left="3600" w:hanging="360"/>
      </w:pPr>
      <w:rPr>
        <w:rFonts w:ascii="Courier New" w:hAnsi="Courier New" w:hint="default"/>
      </w:rPr>
    </w:lvl>
    <w:lvl w:ilvl="5" w:tplc="0A42C33A">
      <w:start w:val="1"/>
      <w:numFmt w:val="bullet"/>
      <w:lvlText w:val=""/>
      <w:lvlJc w:val="left"/>
      <w:pPr>
        <w:ind w:left="4320" w:hanging="360"/>
      </w:pPr>
      <w:rPr>
        <w:rFonts w:ascii="Wingdings" w:hAnsi="Wingdings" w:hint="default"/>
      </w:rPr>
    </w:lvl>
    <w:lvl w:ilvl="6" w:tplc="3DA41F88">
      <w:start w:val="1"/>
      <w:numFmt w:val="bullet"/>
      <w:lvlText w:val=""/>
      <w:lvlJc w:val="left"/>
      <w:pPr>
        <w:ind w:left="5040" w:hanging="360"/>
      </w:pPr>
      <w:rPr>
        <w:rFonts w:ascii="Symbol" w:hAnsi="Symbol" w:hint="default"/>
      </w:rPr>
    </w:lvl>
    <w:lvl w:ilvl="7" w:tplc="01F6A330">
      <w:start w:val="1"/>
      <w:numFmt w:val="bullet"/>
      <w:lvlText w:val="o"/>
      <w:lvlJc w:val="left"/>
      <w:pPr>
        <w:ind w:left="5760" w:hanging="360"/>
      </w:pPr>
      <w:rPr>
        <w:rFonts w:ascii="Courier New" w:hAnsi="Courier New" w:hint="default"/>
      </w:rPr>
    </w:lvl>
    <w:lvl w:ilvl="8" w:tplc="FA40ED12">
      <w:start w:val="1"/>
      <w:numFmt w:val="bullet"/>
      <w:lvlText w:val=""/>
      <w:lvlJc w:val="left"/>
      <w:pPr>
        <w:ind w:left="6480" w:hanging="360"/>
      </w:pPr>
      <w:rPr>
        <w:rFonts w:ascii="Wingdings" w:hAnsi="Wingdings" w:hint="default"/>
      </w:rPr>
    </w:lvl>
  </w:abstractNum>
  <w:abstractNum w:abstractNumId="61" w15:restartNumberingAfterBreak="0">
    <w:nsid w:val="4DCC4486"/>
    <w:multiLevelType w:val="multilevel"/>
    <w:tmpl w:val="0E228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D62338"/>
    <w:multiLevelType w:val="multilevel"/>
    <w:tmpl w:val="BAFAB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F72B98"/>
    <w:multiLevelType w:val="multilevel"/>
    <w:tmpl w:val="51E2E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B77046"/>
    <w:multiLevelType w:val="multilevel"/>
    <w:tmpl w:val="0316B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D73C0C"/>
    <w:multiLevelType w:val="multilevel"/>
    <w:tmpl w:val="AFFC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255FFD"/>
    <w:multiLevelType w:val="multilevel"/>
    <w:tmpl w:val="7F14B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F61074"/>
    <w:multiLevelType w:val="hybridMultilevel"/>
    <w:tmpl w:val="FFFFFFFF"/>
    <w:lvl w:ilvl="0" w:tplc="5EF2CB30">
      <w:start w:val="1"/>
      <w:numFmt w:val="bullet"/>
      <w:lvlText w:val=""/>
      <w:lvlJc w:val="left"/>
      <w:pPr>
        <w:ind w:left="720" w:hanging="360"/>
      </w:pPr>
      <w:rPr>
        <w:rFonts w:ascii="Symbol" w:hAnsi="Symbol" w:hint="default"/>
      </w:rPr>
    </w:lvl>
    <w:lvl w:ilvl="1" w:tplc="85823260">
      <w:start w:val="1"/>
      <w:numFmt w:val="bullet"/>
      <w:lvlText w:val="o"/>
      <w:lvlJc w:val="left"/>
      <w:pPr>
        <w:ind w:left="1440" w:hanging="360"/>
      </w:pPr>
      <w:rPr>
        <w:rFonts w:ascii="Courier New" w:hAnsi="Courier New" w:hint="default"/>
      </w:rPr>
    </w:lvl>
    <w:lvl w:ilvl="2" w:tplc="0C76814C">
      <w:start w:val="1"/>
      <w:numFmt w:val="bullet"/>
      <w:lvlText w:val=""/>
      <w:lvlJc w:val="left"/>
      <w:pPr>
        <w:ind w:left="2160" w:hanging="360"/>
      </w:pPr>
      <w:rPr>
        <w:rFonts w:ascii="Wingdings" w:hAnsi="Wingdings" w:hint="default"/>
      </w:rPr>
    </w:lvl>
    <w:lvl w:ilvl="3" w:tplc="B64AAB34">
      <w:start w:val="1"/>
      <w:numFmt w:val="bullet"/>
      <w:lvlText w:val=""/>
      <w:lvlJc w:val="left"/>
      <w:pPr>
        <w:ind w:left="2880" w:hanging="360"/>
      </w:pPr>
      <w:rPr>
        <w:rFonts w:ascii="Symbol" w:hAnsi="Symbol" w:hint="default"/>
      </w:rPr>
    </w:lvl>
    <w:lvl w:ilvl="4" w:tplc="77B27A76">
      <w:start w:val="1"/>
      <w:numFmt w:val="bullet"/>
      <w:lvlText w:val="o"/>
      <w:lvlJc w:val="left"/>
      <w:pPr>
        <w:ind w:left="3600" w:hanging="360"/>
      </w:pPr>
      <w:rPr>
        <w:rFonts w:ascii="Courier New" w:hAnsi="Courier New" w:hint="default"/>
      </w:rPr>
    </w:lvl>
    <w:lvl w:ilvl="5" w:tplc="A0C418EA">
      <w:start w:val="1"/>
      <w:numFmt w:val="bullet"/>
      <w:lvlText w:val=""/>
      <w:lvlJc w:val="left"/>
      <w:pPr>
        <w:ind w:left="4320" w:hanging="360"/>
      </w:pPr>
      <w:rPr>
        <w:rFonts w:ascii="Wingdings" w:hAnsi="Wingdings" w:hint="default"/>
      </w:rPr>
    </w:lvl>
    <w:lvl w:ilvl="6" w:tplc="2AB8532C">
      <w:start w:val="1"/>
      <w:numFmt w:val="bullet"/>
      <w:lvlText w:val=""/>
      <w:lvlJc w:val="left"/>
      <w:pPr>
        <w:ind w:left="5040" w:hanging="360"/>
      </w:pPr>
      <w:rPr>
        <w:rFonts w:ascii="Symbol" w:hAnsi="Symbol" w:hint="default"/>
      </w:rPr>
    </w:lvl>
    <w:lvl w:ilvl="7" w:tplc="36D87078">
      <w:start w:val="1"/>
      <w:numFmt w:val="bullet"/>
      <w:lvlText w:val="o"/>
      <w:lvlJc w:val="left"/>
      <w:pPr>
        <w:ind w:left="5760" w:hanging="360"/>
      </w:pPr>
      <w:rPr>
        <w:rFonts w:ascii="Courier New" w:hAnsi="Courier New" w:hint="default"/>
      </w:rPr>
    </w:lvl>
    <w:lvl w:ilvl="8" w:tplc="13029EF6">
      <w:start w:val="1"/>
      <w:numFmt w:val="bullet"/>
      <w:lvlText w:val=""/>
      <w:lvlJc w:val="left"/>
      <w:pPr>
        <w:ind w:left="6480" w:hanging="360"/>
      </w:pPr>
      <w:rPr>
        <w:rFonts w:ascii="Wingdings" w:hAnsi="Wingdings" w:hint="default"/>
      </w:rPr>
    </w:lvl>
  </w:abstractNum>
  <w:abstractNum w:abstractNumId="68" w15:restartNumberingAfterBreak="0">
    <w:nsid w:val="52930655"/>
    <w:multiLevelType w:val="multilevel"/>
    <w:tmpl w:val="55E21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082FE4"/>
    <w:multiLevelType w:val="multilevel"/>
    <w:tmpl w:val="12D24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B7434F"/>
    <w:multiLevelType w:val="multilevel"/>
    <w:tmpl w:val="E93C4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51088B"/>
    <w:multiLevelType w:val="multilevel"/>
    <w:tmpl w:val="E01C2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427AC0"/>
    <w:multiLevelType w:val="multilevel"/>
    <w:tmpl w:val="BBBA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642A67"/>
    <w:multiLevelType w:val="multilevel"/>
    <w:tmpl w:val="B53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91686E"/>
    <w:multiLevelType w:val="multilevel"/>
    <w:tmpl w:val="4818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DA4CB9"/>
    <w:multiLevelType w:val="multilevel"/>
    <w:tmpl w:val="2134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BF1379"/>
    <w:multiLevelType w:val="multilevel"/>
    <w:tmpl w:val="58CC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A75681"/>
    <w:multiLevelType w:val="multilevel"/>
    <w:tmpl w:val="A82A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C671E0A"/>
    <w:multiLevelType w:val="multilevel"/>
    <w:tmpl w:val="58AE6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F22991"/>
    <w:multiLevelType w:val="multilevel"/>
    <w:tmpl w:val="8FAA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4B19F3"/>
    <w:multiLevelType w:val="multilevel"/>
    <w:tmpl w:val="55A2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A34579"/>
    <w:multiLevelType w:val="multilevel"/>
    <w:tmpl w:val="0818E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3080262"/>
    <w:multiLevelType w:val="multilevel"/>
    <w:tmpl w:val="3D78A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6B4804"/>
    <w:multiLevelType w:val="multilevel"/>
    <w:tmpl w:val="F20A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EB5D15"/>
    <w:multiLevelType w:val="multilevel"/>
    <w:tmpl w:val="8F9CB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CA1940"/>
    <w:multiLevelType w:val="hybridMultilevel"/>
    <w:tmpl w:val="FFFFFFFF"/>
    <w:lvl w:ilvl="0" w:tplc="9AEE041E">
      <w:start w:val="1"/>
      <w:numFmt w:val="bullet"/>
      <w:lvlText w:val=""/>
      <w:lvlJc w:val="left"/>
      <w:pPr>
        <w:ind w:left="720" w:hanging="360"/>
      </w:pPr>
      <w:rPr>
        <w:rFonts w:ascii="Symbol" w:hAnsi="Symbol" w:hint="default"/>
      </w:rPr>
    </w:lvl>
    <w:lvl w:ilvl="1" w:tplc="62F2662E">
      <w:start w:val="1"/>
      <w:numFmt w:val="bullet"/>
      <w:lvlText w:val="o"/>
      <w:lvlJc w:val="left"/>
      <w:pPr>
        <w:ind w:left="1440" w:hanging="360"/>
      </w:pPr>
      <w:rPr>
        <w:rFonts w:ascii="Courier New" w:hAnsi="Courier New" w:hint="default"/>
      </w:rPr>
    </w:lvl>
    <w:lvl w:ilvl="2" w:tplc="49F83E7E">
      <w:start w:val="1"/>
      <w:numFmt w:val="bullet"/>
      <w:lvlText w:val=""/>
      <w:lvlJc w:val="left"/>
      <w:pPr>
        <w:ind w:left="2160" w:hanging="360"/>
      </w:pPr>
      <w:rPr>
        <w:rFonts w:ascii="Wingdings" w:hAnsi="Wingdings" w:hint="default"/>
      </w:rPr>
    </w:lvl>
    <w:lvl w:ilvl="3" w:tplc="FC38ABDA">
      <w:start w:val="1"/>
      <w:numFmt w:val="bullet"/>
      <w:lvlText w:val=""/>
      <w:lvlJc w:val="left"/>
      <w:pPr>
        <w:ind w:left="2880" w:hanging="360"/>
      </w:pPr>
      <w:rPr>
        <w:rFonts w:ascii="Symbol" w:hAnsi="Symbol" w:hint="default"/>
      </w:rPr>
    </w:lvl>
    <w:lvl w:ilvl="4" w:tplc="4C6C48AC">
      <w:start w:val="1"/>
      <w:numFmt w:val="bullet"/>
      <w:lvlText w:val="o"/>
      <w:lvlJc w:val="left"/>
      <w:pPr>
        <w:ind w:left="3600" w:hanging="360"/>
      </w:pPr>
      <w:rPr>
        <w:rFonts w:ascii="Courier New" w:hAnsi="Courier New" w:hint="default"/>
      </w:rPr>
    </w:lvl>
    <w:lvl w:ilvl="5" w:tplc="6A60495C">
      <w:start w:val="1"/>
      <w:numFmt w:val="bullet"/>
      <w:lvlText w:val=""/>
      <w:lvlJc w:val="left"/>
      <w:pPr>
        <w:ind w:left="4320" w:hanging="360"/>
      </w:pPr>
      <w:rPr>
        <w:rFonts w:ascii="Wingdings" w:hAnsi="Wingdings" w:hint="default"/>
      </w:rPr>
    </w:lvl>
    <w:lvl w:ilvl="6" w:tplc="D17C0694">
      <w:start w:val="1"/>
      <w:numFmt w:val="bullet"/>
      <w:lvlText w:val=""/>
      <w:lvlJc w:val="left"/>
      <w:pPr>
        <w:ind w:left="5040" w:hanging="360"/>
      </w:pPr>
      <w:rPr>
        <w:rFonts w:ascii="Symbol" w:hAnsi="Symbol" w:hint="default"/>
      </w:rPr>
    </w:lvl>
    <w:lvl w:ilvl="7" w:tplc="BD7CE66C">
      <w:start w:val="1"/>
      <w:numFmt w:val="bullet"/>
      <w:lvlText w:val="o"/>
      <w:lvlJc w:val="left"/>
      <w:pPr>
        <w:ind w:left="5760" w:hanging="360"/>
      </w:pPr>
      <w:rPr>
        <w:rFonts w:ascii="Courier New" w:hAnsi="Courier New" w:hint="default"/>
      </w:rPr>
    </w:lvl>
    <w:lvl w:ilvl="8" w:tplc="44AE2C70">
      <w:start w:val="1"/>
      <w:numFmt w:val="bullet"/>
      <w:lvlText w:val=""/>
      <w:lvlJc w:val="left"/>
      <w:pPr>
        <w:ind w:left="6480" w:hanging="360"/>
      </w:pPr>
      <w:rPr>
        <w:rFonts w:ascii="Wingdings" w:hAnsi="Wingdings" w:hint="default"/>
      </w:rPr>
    </w:lvl>
  </w:abstractNum>
  <w:abstractNum w:abstractNumId="86" w15:restartNumberingAfterBreak="0">
    <w:nsid w:val="66977D93"/>
    <w:multiLevelType w:val="multilevel"/>
    <w:tmpl w:val="8368B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4F0458"/>
    <w:multiLevelType w:val="multilevel"/>
    <w:tmpl w:val="9252E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672A26"/>
    <w:multiLevelType w:val="multilevel"/>
    <w:tmpl w:val="41A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6A1A03"/>
    <w:multiLevelType w:val="multilevel"/>
    <w:tmpl w:val="1C38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7EB6945"/>
    <w:multiLevelType w:val="multilevel"/>
    <w:tmpl w:val="A1E0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2F0E74"/>
    <w:multiLevelType w:val="multilevel"/>
    <w:tmpl w:val="564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675049"/>
    <w:multiLevelType w:val="multilevel"/>
    <w:tmpl w:val="8960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612F2E"/>
    <w:multiLevelType w:val="multilevel"/>
    <w:tmpl w:val="69461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0142AA"/>
    <w:multiLevelType w:val="multilevel"/>
    <w:tmpl w:val="81F65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D4C54DD"/>
    <w:multiLevelType w:val="multilevel"/>
    <w:tmpl w:val="EA6A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D797D28"/>
    <w:multiLevelType w:val="multilevel"/>
    <w:tmpl w:val="9252D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B62522"/>
    <w:multiLevelType w:val="multilevel"/>
    <w:tmpl w:val="915E3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CB1FEF"/>
    <w:multiLevelType w:val="multilevel"/>
    <w:tmpl w:val="B30C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F5B4C5B"/>
    <w:multiLevelType w:val="multilevel"/>
    <w:tmpl w:val="2858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F8753CD"/>
    <w:multiLevelType w:val="multilevel"/>
    <w:tmpl w:val="4304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FEF777F"/>
    <w:multiLevelType w:val="multilevel"/>
    <w:tmpl w:val="04A6D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03D23A7"/>
    <w:multiLevelType w:val="multilevel"/>
    <w:tmpl w:val="D8C6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0400A67"/>
    <w:multiLevelType w:val="multilevel"/>
    <w:tmpl w:val="793C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0AAB865"/>
    <w:multiLevelType w:val="hybridMultilevel"/>
    <w:tmpl w:val="B27A9350"/>
    <w:lvl w:ilvl="0" w:tplc="D82001FA">
      <w:start w:val="1"/>
      <w:numFmt w:val="bullet"/>
      <w:lvlText w:val=""/>
      <w:lvlJc w:val="left"/>
      <w:pPr>
        <w:ind w:left="720" w:hanging="360"/>
      </w:pPr>
      <w:rPr>
        <w:rFonts w:ascii="Symbol" w:hAnsi="Symbol" w:hint="default"/>
      </w:rPr>
    </w:lvl>
    <w:lvl w:ilvl="1" w:tplc="2AD48156">
      <w:start w:val="1"/>
      <w:numFmt w:val="bullet"/>
      <w:lvlText w:val="o"/>
      <w:lvlJc w:val="left"/>
      <w:pPr>
        <w:ind w:left="1440" w:hanging="360"/>
      </w:pPr>
      <w:rPr>
        <w:rFonts w:ascii="Courier New" w:hAnsi="Courier New" w:hint="default"/>
      </w:rPr>
    </w:lvl>
    <w:lvl w:ilvl="2" w:tplc="2AF8B222">
      <w:start w:val="1"/>
      <w:numFmt w:val="bullet"/>
      <w:lvlText w:val=""/>
      <w:lvlJc w:val="left"/>
      <w:pPr>
        <w:ind w:left="2160" w:hanging="360"/>
      </w:pPr>
      <w:rPr>
        <w:rFonts w:ascii="Wingdings" w:hAnsi="Wingdings" w:hint="default"/>
      </w:rPr>
    </w:lvl>
    <w:lvl w:ilvl="3" w:tplc="6C7A21C8">
      <w:start w:val="1"/>
      <w:numFmt w:val="bullet"/>
      <w:lvlText w:val=""/>
      <w:lvlJc w:val="left"/>
      <w:pPr>
        <w:ind w:left="2880" w:hanging="360"/>
      </w:pPr>
      <w:rPr>
        <w:rFonts w:ascii="Symbol" w:hAnsi="Symbol" w:hint="default"/>
      </w:rPr>
    </w:lvl>
    <w:lvl w:ilvl="4" w:tplc="7ADE1C8C">
      <w:start w:val="1"/>
      <w:numFmt w:val="bullet"/>
      <w:lvlText w:val="o"/>
      <w:lvlJc w:val="left"/>
      <w:pPr>
        <w:ind w:left="3600" w:hanging="360"/>
      </w:pPr>
      <w:rPr>
        <w:rFonts w:ascii="Courier New" w:hAnsi="Courier New" w:hint="default"/>
      </w:rPr>
    </w:lvl>
    <w:lvl w:ilvl="5" w:tplc="8DFED15A">
      <w:start w:val="1"/>
      <w:numFmt w:val="bullet"/>
      <w:lvlText w:val=""/>
      <w:lvlJc w:val="left"/>
      <w:pPr>
        <w:ind w:left="4320" w:hanging="360"/>
      </w:pPr>
      <w:rPr>
        <w:rFonts w:ascii="Wingdings" w:hAnsi="Wingdings" w:hint="default"/>
      </w:rPr>
    </w:lvl>
    <w:lvl w:ilvl="6" w:tplc="0CE4031C">
      <w:start w:val="1"/>
      <w:numFmt w:val="bullet"/>
      <w:lvlText w:val=""/>
      <w:lvlJc w:val="left"/>
      <w:pPr>
        <w:ind w:left="5040" w:hanging="360"/>
      </w:pPr>
      <w:rPr>
        <w:rFonts w:ascii="Symbol" w:hAnsi="Symbol" w:hint="default"/>
      </w:rPr>
    </w:lvl>
    <w:lvl w:ilvl="7" w:tplc="CADE5CF8">
      <w:start w:val="1"/>
      <w:numFmt w:val="bullet"/>
      <w:lvlText w:val="o"/>
      <w:lvlJc w:val="left"/>
      <w:pPr>
        <w:ind w:left="5760" w:hanging="360"/>
      </w:pPr>
      <w:rPr>
        <w:rFonts w:ascii="Courier New" w:hAnsi="Courier New" w:hint="default"/>
      </w:rPr>
    </w:lvl>
    <w:lvl w:ilvl="8" w:tplc="F26013DC">
      <w:start w:val="1"/>
      <w:numFmt w:val="bullet"/>
      <w:lvlText w:val=""/>
      <w:lvlJc w:val="left"/>
      <w:pPr>
        <w:ind w:left="6480" w:hanging="360"/>
      </w:pPr>
      <w:rPr>
        <w:rFonts w:ascii="Wingdings" w:hAnsi="Wingdings" w:hint="default"/>
      </w:rPr>
    </w:lvl>
  </w:abstractNum>
  <w:abstractNum w:abstractNumId="105" w15:restartNumberingAfterBreak="0">
    <w:nsid w:val="722A7E0F"/>
    <w:multiLevelType w:val="multilevel"/>
    <w:tmpl w:val="D05E2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CB352F"/>
    <w:multiLevelType w:val="multilevel"/>
    <w:tmpl w:val="3954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36A784D"/>
    <w:multiLevelType w:val="multilevel"/>
    <w:tmpl w:val="F2C6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3DF086B"/>
    <w:multiLevelType w:val="multilevel"/>
    <w:tmpl w:val="4FA24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43448A8"/>
    <w:multiLevelType w:val="multilevel"/>
    <w:tmpl w:val="535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605768F"/>
    <w:multiLevelType w:val="multilevel"/>
    <w:tmpl w:val="3D30C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6B60013"/>
    <w:multiLevelType w:val="multilevel"/>
    <w:tmpl w:val="2C72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6D754DE"/>
    <w:multiLevelType w:val="multilevel"/>
    <w:tmpl w:val="010C9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8040DEC"/>
    <w:multiLevelType w:val="multilevel"/>
    <w:tmpl w:val="A7A4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807770D"/>
    <w:multiLevelType w:val="multilevel"/>
    <w:tmpl w:val="1458D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7C7FE0"/>
    <w:multiLevelType w:val="multilevel"/>
    <w:tmpl w:val="FFCC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91911DF"/>
    <w:multiLevelType w:val="multilevel"/>
    <w:tmpl w:val="866E9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A6558D4"/>
    <w:multiLevelType w:val="multilevel"/>
    <w:tmpl w:val="F390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BCA44EE"/>
    <w:multiLevelType w:val="multilevel"/>
    <w:tmpl w:val="547A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651A6C"/>
    <w:multiLevelType w:val="multilevel"/>
    <w:tmpl w:val="97260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FAB0F77"/>
    <w:multiLevelType w:val="multilevel"/>
    <w:tmpl w:val="0EE4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215691">
    <w:abstractNumId w:val="104"/>
  </w:num>
  <w:num w:numId="2" w16cid:durableId="206528948">
    <w:abstractNumId w:val="58"/>
  </w:num>
  <w:num w:numId="3" w16cid:durableId="1803421756">
    <w:abstractNumId w:val="6"/>
  </w:num>
  <w:num w:numId="4" w16cid:durableId="1425570543">
    <w:abstractNumId w:val="9"/>
  </w:num>
  <w:num w:numId="5" w16cid:durableId="1708215434">
    <w:abstractNumId w:val="119"/>
  </w:num>
  <w:num w:numId="6" w16cid:durableId="333338118">
    <w:abstractNumId w:val="16"/>
  </w:num>
  <w:num w:numId="7" w16cid:durableId="226115586">
    <w:abstractNumId w:val="117"/>
  </w:num>
  <w:num w:numId="8" w16cid:durableId="1469401253">
    <w:abstractNumId w:val="69"/>
  </w:num>
  <w:num w:numId="9" w16cid:durableId="1596013126">
    <w:abstractNumId w:val="23"/>
  </w:num>
  <w:num w:numId="10" w16cid:durableId="64648918">
    <w:abstractNumId w:val="66"/>
  </w:num>
  <w:num w:numId="11" w16cid:durableId="726879210">
    <w:abstractNumId w:val="50"/>
  </w:num>
  <w:num w:numId="12" w16cid:durableId="1299259205">
    <w:abstractNumId w:val="75"/>
  </w:num>
  <w:num w:numId="13" w16cid:durableId="1887906026">
    <w:abstractNumId w:val="76"/>
  </w:num>
  <w:num w:numId="14" w16cid:durableId="299389086">
    <w:abstractNumId w:val="57"/>
  </w:num>
  <w:num w:numId="15" w16cid:durableId="1323318000">
    <w:abstractNumId w:val="0"/>
  </w:num>
  <w:num w:numId="16" w16cid:durableId="94714642">
    <w:abstractNumId w:val="44"/>
  </w:num>
  <w:num w:numId="17" w16cid:durableId="454177120">
    <w:abstractNumId w:val="27"/>
  </w:num>
  <w:num w:numId="18" w16cid:durableId="1177306237">
    <w:abstractNumId w:val="86"/>
  </w:num>
  <w:num w:numId="19" w16cid:durableId="1484158684">
    <w:abstractNumId w:val="52"/>
  </w:num>
  <w:num w:numId="20" w16cid:durableId="576209686">
    <w:abstractNumId w:val="19"/>
  </w:num>
  <w:num w:numId="21" w16cid:durableId="234828163">
    <w:abstractNumId w:val="110"/>
  </w:num>
  <w:num w:numId="22" w16cid:durableId="617293322">
    <w:abstractNumId w:val="1"/>
  </w:num>
  <w:num w:numId="23" w16cid:durableId="919484677">
    <w:abstractNumId w:val="111"/>
  </w:num>
  <w:num w:numId="24" w16cid:durableId="1659840722">
    <w:abstractNumId w:val="37"/>
  </w:num>
  <w:num w:numId="25" w16cid:durableId="504128020">
    <w:abstractNumId w:val="28"/>
  </w:num>
  <w:num w:numId="26" w16cid:durableId="769277924">
    <w:abstractNumId w:val="93"/>
  </w:num>
  <w:num w:numId="27" w16cid:durableId="327371152">
    <w:abstractNumId w:val="102"/>
  </w:num>
  <w:num w:numId="28" w16cid:durableId="913005273">
    <w:abstractNumId w:val="100"/>
  </w:num>
  <w:num w:numId="29" w16cid:durableId="1001080522">
    <w:abstractNumId w:val="103"/>
  </w:num>
  <w:num w:numId="30" w16cid:durableId="1559323528">
    <w:abstractNumId w:val="115"/>
  </w:num>
  <w:num w:numId="31" w16cid:durableId="1424183564">
    <w:abstractNumId w:val="17"/>
  </w:num>
  <w:num w:numId="32" w16cid:durableId="1434470653">
    <w:abstractNumId w:val="77"/>
  </w:num>
  <w:num w:numId="33" w16cid:durableId="166403219">
    <w:abstractNumId w:val="87"/>
  </w:num>
  <w:num w:numId="34" w16cid:durableId="292906093">
    <w:abstractNumId w:val="99"/>
  </w:num>
  <w:num w:numId="35" w16cid:durableId="248932273">
    <w:abstractNumId w:val="116"/>
  </w:num>
  <w:num w:numId="36" w16cid:durableId="1510296277">
    <w:abstractNumId w:val="61"/>
  </w:num>
  <w:num w:numId="37" w16cid:durableId="308245945">
    <w:abstractNumId w:val="30"/>
  </w:num>
  <w:num w:numId="38" w16cid:durableId="464153768">
    <w:abstractNumId w:val="8"/>
  </w:num>
  <w:num w:numId="39" w16cid:durableId="1000618487">
    <w:abstractNumId w:val="55"/>
  </w:num>
  <w:num w:numId="40" w16cid:durableId="783233964">
    <w:abstractNumId w:val="101"/>
  </w:num>
  <w:num w:numId="41" w16cid:durableId="1798177383">
    <w:abstractNumId w:val="10"/>
  </w:num>
  <w:num w:numId="42" w16cid:durableId="1388604162">
    <w:abstractNumId w:val="5"/>
  </w:num>
  <w:num w:numId="43" w16cid:durableId="1802460482">
    <w:abstractNumId w:val="106"/>
  </w:num>
  <w:num w:numId="44" w16cid:durableId="672999701">
    <w:abstractNumId w:val="4"/>
  </w:num>
  <w:num w:numId="45" w16cid:durableId="1096026034">
    <w:abstractNumId w:val="70"/>
  </w:num>
  <w:num w:numId="46" w16cid:durableId="995916113">
    <w:abstractNumId w:val="112"/>
  </w:num>
  <w:num w:numId="47" w16cid:durableId="1368335327">
    <w:abstractNumId w:val="73"/>
  </w:num>
  <w:num w:numId="48" w16cid:durableId="872231226">
    <w:abstractNumId w:val="65"/>
  </w:num>
  <w:num w:numId="49" w16cid:durableId="1684624403">
    <w:abstractNumId w:val="59"/>
  </w:num>
  <w:num w:numId="50" w16cid:durableId="1695225165">
    <w:abstractNumId w:val="25"/>
  </w:num>
  <w:num w:numId="51" w16cid:durableId="1270625807">
    <w:abstractNumId w:val="71"/>
  </w:num>
  <w:num w:numId="52" w16cid:durableId="408385511">
    <w:abstractNumId w:val="41"/>
  </w:num>
  <w:num w:numId="53" w16cid:durableId="1183781491">
    <w:abstractNumId w:val="39"/>
  </w:num>
  <w:num w:numId="54" w16cid:durableId="910430216">
    <w:abstractNumId w:val="2"/>
  </w:num>
  <w:num w:numId="55" w16cid:durableId="1263683927">
    <w:abstractNumId w:val="46"/>
  </w:num>
  <w:num w:numId="56" w16cid:durableId="1422029031">
    <w:abstractNumId w:val="82"/>
  </w:num>
  <w:num w:numId="57" w16cid:durableId="1529444228">
    <w:abstractNumId w:val="7"/>
  </w:num>
  <w:num w:numId="58" w16cid:durableId="1615289512">
    <w:abstractNumId w:val="72"/>
  </w:num>
  <w:num w:numId="59" w16cid:durableId="323973703">
    <w:abstractNumId w:val="97"/>
  </w:num>
  <w:num w:numId="60" w16cid:durableId="1438864381">
    <w:abstractNumId w:val="96"/>
  </w:num>
  <w:num w:numId="61" w16cid:durableId="558516694">
    <w:abstractNumId w:val="89"/>
  </w:num>
  <w:num w:numId="62" w16cid:durableId="1659653633">
    <w:abstractNumId w:val="49"/>
  </w:num>
  <w:num w:numId="63" w16cid:durableId="933714">
    <w:abstractNumId w:val="42"/>
  </w:num>
  <w:num w:numId="64" w16cid:durableId="877206079">
    <w:abstractNumId w:val="81"/>
  </w:num>
  <w:num w:numId="65" w16cid:durableId="2070152439">
    <w:abstractNumId w:val="11"/>
  </w:num>
  <w:num w:numId="66" w16cid:durableId="1438865836">
    <w:abstractNumId w:val="14"/>
  </w:num>
  <w:num w:numId="67" w16cid:durableId="591203664">
    <w:abstractNumId w:val="51"/>
  </w:num>
  <w:num w:numId="68" w16cid:durableId="1586378315">
    <w:abstractNumId w:val="79"/>
  </w:num>
  <w:num w:numId="69" w16cid:durableId="574240944">
    <w:abstractNumId w:val="20"/>
  </w:num>
  <w:num w:numId="70" w16cid:durableId="1794983733">
    <w:abstractNumId w:val="3"/>
  </w:num>
  <w:num w:numId="71" w16cid:durableId="427044384">
    <w:abstractNumId w:val="114"/>
  </w:num>
  <w:num w:numId="72" w16cid:durableId="1017316251">
    <w:abstractNumId w:val="90"/>
  </w:num>
  <w:num w:numId="73" w16cid:durableId="715668078">
    <w:abstractNumId w:val="98"/>
  </w:num>
  <w:num w:numId="74" w16cid:durableId="609166684">
    <w:abstractNumId w:val="78"/>
  </w:num>
  <w:num w:numId="75" w16cid:durableId="34473884">
    <w:abstractNumId w:val="105"/>
  </w:num>
  <w:num w:numId="76" w16cid:durableId="1269779532">
    <w:abstractNumId w:val="13"/>
  </w:num>
  <w:num w:numId="77" w16cid:durableId="598610327">
    <w:abstractNumId w:val="43"/>
  </w:num>
  <w:num w:numId="78" w16cid:durableId="1637252199">
    <w:abstractNumId w:val="12"/>
  </w:num>
  <w:num w:numId="79" w16cid:durableId="772286698">
    <w:abstractNumId w:val="48"/>
  </w:num>
  <w:num w:numId="80" w16cid:durableId="1447430849">
    <w:abstractNumId w:val="56"/>
  </w:num>
  <w:num w:numId="81" w16cid:durableId="2145466541">
    <w:abstractNumId w:val="53"/>
  </w:num>
  <w:num w:numId="82" w16cid:durableId="730739465">
    <w:abstractNumId w:val="109"/>
  </w:num>
  <w:num w:numId="83" w16cid:durableId="1399090243">
    <w:abstractNumId w:val="33"/>
  </w:num>
  <w:num w:numId="84" w16cid:durableId="33576814">
    <w:abstractNumId w:val="18"/>
  </w:num>
  <w:num w:numId="85" w16cid:durableId="1552186153">
    <w:abstractNumId w:val="63"/>
  </w:num>
  <w:num w:numId="86" w16cid:durableId="1313101694">
    <w:abstractNumId w:val="15"/>
  </w:num>
  <w:num w:numId="87" w16cid:durableId="1221137403">
    <w:abstractNumId w:val="83"/>
  </w:num>
  <w:num w:numId="88" w16cid:durableId="1552771177">
    <w:abstractNumId w:val="38"/>
  </w:num>
  <w:num w:numId="89" w16cid:durableId="357507052">
    <w:abstractNumId w:val="47"/>
  </w:num>
  <w:num w:numId="90" w16cid:durableId="1618640204">
    <w:abstractNumId w:val="54"/>
  </w:num>
  <w:num w:numId="91" w16cid:durableId="989092753">
    <w:abstractNumId w:val="34"/>
  </w:num>
  <w:num w:numId="92" w16cid:durableId="1356540499">
    <w:abstractNumId w:val="88"/>
  </w:num>
  <w:num w:numId="93" w16cid:durableId="987513430">
    <w:abstractNumId w:val="95"/>
  </w:num>
  <w:num w:numId="94" w16cid:durableId="1266036323">
    <w:abstractNumId w:val="22"/>
  </w:num>
  <w:num w:numId="95" w16cid:durableId="1050880517">
    <w:abstractNumId w:val="40"/>
  </w:num>
  <w:num w:numId="96" w16cid:durableId="1931305768">
    <w:abstractNumId w:val="45"/>
  </w:num>
  <w:num w:numId="97" w16cid:durableId="1258175607">
    <w:abstractNumId w:val="120"/>
  </w:num>
  <w:num w:numId="98" w16cid:durableId="844634762">
    <w:abstractNumId w:val="74"/>
  </w:num>
  <w:num w:numId="99" w16cid:durableId="265961660">
    <w:abstractNumId w:val="84"/>
  </w:num>
  <w:num w:numId="100" w16cid:durableId="1548108757">
    <w:abstractNumId w:val="32"/>
  </w:num>
  <w:num w:numId="101" w16cid:durableId="1970092660">
    <w:abstractNumId w:val="118"/>
  </w:num>
  <w:num w:numId="102" w16cid:durableId="1716616096">
    <w:abstractNumId w:val="92"/>
  </w:num>
  <w:num w:numId="103" w16cid:durableId="1732536584">
    <w:abstractNumId w:val="107"/>
  </w:num>
  <w:num w:numId="104" w16cid:durableId="1773864807">
    <w:abstractNumId w:val="35"/>
  </w:num>
  <w:num w:numId="105" w16cid:durableId="661390471">
    <w:abstractNumId w:val="31"/>
  </w:num>
  <w:num w:numId="106" w16cid:durableId="371535575">
    <w:abstractNumId w:val="64"/>
  </w:num>
  <w:num w:numId="107" w16cid:durableId="1935093456">
    <w:abstractNumId w:val="113"/>
  </w:num>
  <w:num w:numId="108" w16cid:durableId="924537890">
    <w:abstractNumId w:val="26"/>
  </w:num>
  <w:num w:numId="109" w16cid:durableId="2077820923">
    <w:abstractNumId w:val="80"/>
  </w:num>
  <w:num w:numId="110" w16cid:durableId="97526902">
    <w:abstractNumId w:val="68"/>
  </w:num>
  <w:num w:numId="111" w16cid:durableId="50004469">
    <w:abstractNumId w:val="94"/>
  </w:num>
  <w:num w:numId="112" w16cid:durableId="1791053568">
    <w:abstractNumId w:val="36"/>
  </w:num>
  <w:num w:numId="113" w16cid:durableId="412119910">
    <w:abstractNumId w:val="91"/>
  </w:num>
  <w:num w:numId="114" w16cid:durableId="937058158">
    <w:abstractNumId w:val="108"/>
  </w:num>
  <w:num w:numId="115" w16cid:durableId="1624773123">
    <w:abstractNumId w:val="62"/>
  </w:num>
  <w:num w:numId="116" w16cid:durableId="20472234">
    <w:abstractNumId w:val="24"/>
  </w:num>
  <w:num w:numId="117" w16cid:durableId="1091514308">
    <w:abstractNumId w:val="21"/>
  </w:num>
  <w:num w:numId="118" w16cid:durableId="900291316">
    <w:abstractNumId w:val="60"/>
  </w:num>
  <w:num w:numId="119" w16cid:durableId="1194727582">
    <w:abstractNumId w:val="29"/>
  </w:num>
  <w:num w:numId="120" w16cid:durableId="131749139">
    <w:abstractNumId w:val="85"/>
  </w:num>
  <w:num w:numId="121" w16cid:durableId="2060156708">
    <w:abstractNumId w:val="67"/>
  </w:num>
  <w:numIdMacAtCleanup w:val="1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Hyde">
    <w15:presenceInfo w15:providerId="AD" w15:userId="S::lhyde@edpa.org::93932d04-46dd-4ad5-85d1-db502864428d"/>
  </w15:person>
  <w15:person w15:author="Jacob Lamb">
    <w15:presenceInfo w15:providerId="AD" w15:userId="S::jlamb@edpa.org::b418424a-ed5b-48d9-bd09-34ae8f3fc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3A"/>
    <w:rsid w:val="00001F07"/>
    <w:rsid w:val="00003DFD"/>
    <w:rsid w:val="000056B0"/>
    <w:rsid w:val="000068C9"/>
    <w:rsid w:val="00013EB9"/>
    <w:rsid w:val="00014C60"/>
    <w:rsid w:val="000157EA"/>
    <w:rsid w:val="00056BFA"/>
    <w:rsid w:val="00057A6F"/>
    <w:rsid w:val="00082548"/>
    <w:rsid w:val="00083289"/>
    <w:rsid w:val="00095168"/>
    <w:rsid w:val="00095448"/>
    <w:rsid w:val="000A3B64"/>
    <w:rsid w:val="000A3D7B"/>
    <w:rsid w:val="000A57FF"/>
    <w:rsid w:val="000B2718"/>
    <w:rsid w:val="000B63AB"/>
    <w:rsid w:val="000C1887"/>
    <w:rsid w:val="000C462B"/>
    <w:rsid w:val="000C7668"/>
    <w:rsid w:val="000C7885"/>
    <w:rsid w:val="000D1546"/>
    <w:rsid w:val="000E49A0"/>
    <w:rsid w:val="000F28AD"/>
    <w:rsid w:val="000F4747"/>
    <w:rsid w:val="00110EC9"/>
    <w:rsid w:val="00111DEC"/>
    <w:rsid w:val="00113182"/>
    <w:rsid w:val="00127934"/>
    <w:rsid w:val="0014701A"/>
    <w:rsid w:val="00150848"/>
    <w:rsid w:val="00152E8B"/>
    <w:rsid w:val="0015574A"/>
    <w:rsid w:val="00168E5E"/>
    <w:rsid w:val="00181056"/>
    <w:rsid w:val="0018224E"/>
    <w:rsid w:val="001A0600"/>
    <w:rsid w:val="001A48A5"/>
    <w:rsid w:val="001B222E"/>
    <w:rsid w:val="001B6E58"/>
    <w:rsid w:val="001C04A3"/>
    <w:rsid w:val="001C2A4D"/>
    <w:rsid w:val="001C35F2"/>
    <w:rsid w:val="001C6B8F"/>
    <w:rsid w:val="001C7ED9"/>
    <w:rsid w:val="001E3444"/>
    <w:rsid w:val="001F5C54"/>
    <w:rsid w:val="00202886"/>
    <w:rsid w:val="002040E9"/>
    <w:rsid w:val="00208FF0"/>
    <w:rsid w:val="00212E43"/>
    <w:rsid w:val="00213B86"/>
    <w:rsid w:val="002177CE"/>
    <w:rsid w:val="00220604"/>
    <w:rsid w:val="002237D8"/>
    <w:rsid w:val="00231941"/>
    <w:rsid w:val="00235A00"/>
    <w:rsid w:val="00235C19"/>
    <w:rsid w:val="0023694B"/>
    <w:rsid w:val="00236DCE"/>
    <w:rsid w:val="00240D28"/>
    <w:rsid w:val="00243272"/>
    <w:rsid w:val="002456CE"/>
    <w:rsid w:val="00247165"/>
    <w:rsid w:val="0025706F"/>
    <w:rsid w:val="00263B1B"/>
    <w:rsid w:val="00270115"/>
    <w:rsid w:val="00293C60"/>
    <w:rsid w:val="00294686"/>
    <w:rsid w:val="002A17C8"/>
    <w:rsid w:val="002A7EDA"/>
    <w:rsid w:val="002D2537"/>
    <w:rsid w:val="002D485E"/>
    <w:rsid w:val="002D66B0"/>
    <w:rsid w:val="002E4C07"/>
    <w:rsid w:val="002F1C6E"/>
    <w:rsid w:val="00302C1C"/>
    <w:rsid w:val="0030678A"/>
    <w:rsid w:val="00307254"/>
    <w:rsid w:val="003163A6"/>
    <w:rsid w:val="003337D2"/>
    <w:rsid w:val="00336203"/>
    <w:rsid w:val="00340813"/>
    <w:rsid w:val="00344CCA"/>
    <w:rsid w:val="00351B2D"/>
    <w:rsid w:val="0036765E"/>
    <w:rsid w:val="00370900"/>
    <w:rsid w:val="00373A2B"/>
    <w:rsid w:val="00381155"/>
    <w:rsid w:val="0039725A"/>
    <w:rsid w:val="003B13BD"/>
    <w:rsid w:val="003B26B7"/>
    <w:rsid w:val="003B2F44"/>
    <w:rsid w:val="003C0AD2"/>
    <w:rsid w:val="003C3010"/>
    <w:rsid w:val="003D00AE"/>
    <w:rsid w:val="003E53D5"/>
    <w:rsid w:val="003F3707"/>
    <w:rsid w:val="003F546F"/>
    <w:rsid w:val="00401136"/>
    <w:rsid w:val="00415CCF"/>
    <w:rsid w:val="004175EB"/>
    <w:rsid w:val="004207F8"/>
    <w:rsid w:val="0042414A"/>
    <w:rsid w:val="004340FA"/>
    <w:rsid w:val="00436445"/>
    <w:rsid w:val="00446F39"/>
    <w:rsid w:val="00462DC8"/>
    <w:rsid w:val="00465DD0"/>
    <w:rsid w:val="00476F80"/>
    <w:rsid w:val="00481548"/>
    <w:rsid w:val="00486F09"/>
    <w:rsid w:val="004A0F60"/>
    <w:rsid w:val="004A33D9"/>
    <w:rsid w:val="004A5009"/>
    <w:rsid w:val="004B3118"/>
    <w:rsid w:val="004B4A93"/>
    <w:rsid w:val="004C3697"/>
    <w:rsid w:val="004D2873"/>
    <w:rsid w:val="004D7D2C"/>
    <w:rsid w:val="004E0939"/>
    <w:rsid w:val="004E45DA"/>
    <w:rsid w:val="004E5222"/>
    <w:rsid w:val="004F5A87"/>
    <w:rsid w:val="00506381"/>
    <w:rsid w:val="00507F39"/>
    <w:rsid w:val="00512AB8"/>
    <w:rsid w:val="00525AD9"/>
    <w:rsid w:val="00526EC4"/>
    <w:rsid w:val="0054308E"/>
    <w:rsid w:val="005506BA"/>
    <w:rsid w:val="00554474"/>
    <w:rsid w:val="005663AB"/>
    <w:rsid w:val="005757E2"/>
    <w:rsid w:val="0058689C"/>
    <w:rsid w:val="005A7C9F"/>
    <w:rsid w:val="005B632A"/>
    <w:rsid w:val="005C2538"/>
    <w:rsid w:val="005D1106"/>
    <w:rsid w:val="005D3751"/>
    <w:rsid w:val="005D48C5"/>
    <w:rsid w:val="005E3588"/>
    <w:rsid w:val="005F4519"/>
    <w:rsid w:val="0061798D"/>
    <w:rsid w:val="00617A1A"/>
    <w:rsid w:val="0063022C"/>
    <w:rsid w:val="00654F2A"/>
    <w:rsid w:val="00663008"/>
    <w:rsid w:val="006771A9"/>
    <w:rsid w:val="006777E2"/>
    <w:rsid w:val="00687B74"/>
    <w:rsid w:val="00696367"/>
    <w:rsid w:val="006A72A9"/>
    <w:rsid w:val="006B01AA"/>
    <w:rsid w:val="006B4E8C"/>
    <w:rsid w:val="006B4FDE"/>
    <w:rsid w:val="006C51CB"/>
    <w:rsid w:val="006C7D7F"/>
    <w:rsid w:val="006D6BBB"/>
    <w:rsid w:val="006E300D"/>
    <w:rsid w:val="006E5D27"/>
    <w:rsid w:val="006E670F"/>
    <w:rsid w:val="006F17B4"/>
    <w:rsid w:val="006F2C01"/>
    <w:rsid w:val="006F6DEB"/>
    <w:rsid w:val="00703EA1"/>
    <w:rsid w:val="00714F8F"/>
    <w:rsid w:val="00727A40"/>
    <w:rsid w:val="007431A6"/>
    <w:rsid w:val="007502B9"/>
    <w:rsid w:val="007504EB"/>
    <w:rsid w:val="0075184D"/>
    <w:rsid w:val="0076103F"/>
    <w:rsid w:val="00765EC6"/>
    <w:rsid w:val="007714B4"/>
    <w:rsid w:val="00773805"/>
    <w:rsid w:val="00775A43"/>
    <w:rsid w:val="0078187C"/>
    <w:rsid w:val="007924AA"/>
    <w:rsid w:val="007A6182"/>
    <w:rsid w:val="007B0D7B"/>
    <w:rsid w:val="007B17D3"/>
    <w:rsid w:val="007C48B4"/>
    <w:rsid w:val="007D2D0F"/>
    <w:rsid w:val="007D2D17"/>
    <w:rsid w:val="007E0AEB"/>
    <w:rsid w:val="007E76BD"/>
    <w:rsid w:val="007F0077"/>
    <w:rsid w:val="007F2CEF"/>
    <w:rsid w:val="00812E38"/>
    <w:rsid w:val="008209C8"/>
    <w:rsid w:val="00823A8B"/>
    <w:rsid w:val="00823A94"/>
    <w:rsid w:val="008321D8"/>
    <w:rsid w:val="00835863"/>
    <w:rsid w:val="00861020"/>
    <w:rsid w:val="00864EAB"/>
    <w:rsid w:val="00874B3B"/>
    <w:rsid w:val="00882942"/>
    <w:rsid w:val="008929DF"/>
    <w:rsid w:val="00896232"/>
    <w:rsid w:val="008A28EF"/>
    <w:rsid w:val="008A50CA"/>
    <w:rsid w:val="008A6952"/>
    <w:rsid w:val="008B32F3"/>
    <w:rsid w:val="008B6881"/>
    <w:rsid w:val="008B733A"/>
    <w:rsid w:val="008B7876"/>
    <w:rsid w:val="008C66D7"/>
    <w:rsid w:val="008F20EF"/>
    <w:rsid w:val="008F4D41"/>
    <w:rsid w:val="00903ECF"/>
    <w:rsid w:val="00903F64"/>
    <w:rsid w:val="0093538A"/>
    <w:rsid w:val="00951942"/>
    <w:rsid w:val="00956486"/>
    <w:rsid w:val="00963031"/>
    <w:rsid w:val="00963BCD"/>
    <w:rsid w:val="00976D2A"/>
    <w:rsid w:val="009770CC"/>
    <w:rsid w:val="00977782"/>
    <w:rsid w:val="0098240E"/>
    <w:rsid w:val="009842C7"/>
    <w:rsid w:val="00986620"/>
    <w:rsid w:val="0099072C"/>
    <w:rsid w:val="00990BF4"/>
    <w:rsid w:val="00996645"/>
    <w:rsid w:val="009B137E"/>
    <w:rsid w:val="009B3C50"/>
    <w:rsid w:val="009C110F"/>
    <w:rsid w:val="009D1F34"/>
    <w:rsid w:val="009D217B"/>
    <w:rsid w:val="009E398F"/>
    <w:rsid w:val="009E6D3E"/>
    <w:rsid w:val="009F0FB5"/>
    <w:rsid w:val="00A03331"/>
    <w:rsid w:val="00A045D5"/>
    <w:rsid w:val="00A11A83"/>
    <w:rsid w:val="00A15B88"/>
    <w:rsid w:val="00A33AC2"/>
    <w:rsid w:val="00A57D24"/>
    <w:rsid w:val="00A64E71"/>
    <w:rsid w:val="00A66D7A"/>
    <w:rsid w:val="00A71C21"/>
    <w:rsid w:val="00A72B2A"/>
    <w:rsid w:val="00A74436"/>
    <w:rsid w:val="00A77381"/>
    <w:rsid w:val="00A87F2F"/>
    <w:rsid w:val="00A87F79"/>
    <w:rsid w:val="00A90AC1"/>
    <w:rsid w:val="00A90EDA"/>
    <w:rsid w:val="00AA6684"/>
    <w:rsid w:val="00AB52DC"/>
    <w:rsid w:val="00AC06BD"/>
    <w:rsid w:val="00AC4B23"/>
    <w:rsid w:val="00AC7F6A"/>
    <w:rsid w:val="00AD73A7"/>
    <w:rsid w:val="00AF2939"/>
    <w:rsid w:val="00B01D09"/>
    <w:rsid w:val="00B04925"/>
    <w:rsid w:val="00B13DAB"/>
    <w:rsid w:val="00B22B76"/>
    <w:rsid w:val="00B24743"/>
    <w:rsid w:val="00B3084B"/>
    <w:rsid w:val="00B30AC9"/>
    <w:rsid w:val="00B335B9"/>
    <w:rsid w:val="00B33BB5"/>
    <w:rsid w:val="00B33FD1"/>
    <w:rsid w:val="00B51657"/>
    <w:rsid w:val="00B51B3B"/>
    <w:rsid w:val="00B635AF"/>
    <w:rsid w:val="00B6601A"/>
    <w:rsid w:val="00B717E4"/>
    <w:rsid w:val="00BB3B0A"/>
    <w:rsid w:val="00BC005E"/>
    <w:rsid w:val="00BC00B8"/>
    <w:rsid w:val="00BC0D8E"/>
    <w:rsid w:val="00BC982E"/>
    <w:rsid w:val="00BD428A"/>
    <w:rsid w:val="00BE3F9F"/>
    <w:rsid w:val="00C00E21"/>
    <w:rsid w:val="00C0486F"/>
    <w:rsid w:val="00C07CA4"/>
    <w:rsid w:val="00C312C1"/>
    <w:rsid w:val="00C36884"/>
    <w:rsid w:val="00C37984"/>
    <w:rsid w:val="00C41A82"/>
    <w:rsid w:val="00C57DA9"/>
    <w:rsid w:val="00C642F6"/>
    <w:rsid w:val="00C67C4C"/>
    <w:rsid w:val="00C7330A"/>
    <w:rsid w:val="00C82B2C"/>
    <w:rsid w:val="00C832BB"/>
    <w:rsid w:val="00C87EF3"/>
    <w:rsid w:val="00C937DA"/>
    <w:rsid w:val="00C97474"/>
    <w:rsid w:val="00CA0AA2"/>
    <w:rsid w:val="00CB05B4"/>
    <w:rsid w:val="00CB0A85"/>
    <w:rsid w:val="00CD4167"/>
    <w:rsid w:val="00CE1784"/>
    <w:rsid w:val="00CE57EA"/>
    <w:rsid w:val="00CF0E06"/>
    <w:rsid w:val="00CF25D9"/>
    <w:rsid w:val="00CF5218"/>
    <w:rsid w:val="00D00BF5"/>
    <w:rsid w:val="00D02B5E"/>
    <w:rsid w:val="00D02DA9"/>
    <w:rsid w:val="00D12B26"/>
    <w:rsid w:val="00D2B5CE"/>
    <w:rsid w:val="00D32AFF"/>
    <w:rsid w:val="00D363C0"/>
    <w:rsid w:val="00D45D99"/>
    <w:rsid w:val="00D47B31"/>
    <w:rsid w:val="00D53361"/>
    <w:rsid w:val="00D56986"/>
    <w:rsid w:val="00D67B27"/>
    <w:rsid w:val="00D9332A"/>
    <w:rsid w:val="00DA25FA"/>
    <w:rsid w:val="00DB2E94"/>
    <w:rsid w:val="00DC6454"/>
    <w:rsid w:val="00DD30F2"/>
    <w:rsid w:val="00DE1918"/>
    <w:rsid w:val="00DE56E7"/>
    <w:rsid w:val="00DF0391"/>
    <w:rsid w:val="00DF65C6"/>
    <w:rsid w:val="00E00D8C"/>
    <w:rsid w:val="00E02FCA"/>
    <w:rsid w:val="00E14E3F"/>
    <w:rsid w:val="00E16176"/>
    <w:rsid w:val="00E20E1C"/>
    <w:rsid w:val="00E24FE9"/>
    <w:rsid w:val="00E263BE"/>
    <w:rsid w:val="00E312C1"/>
    <w:rsid w:val="00E36C56"/>
    <w:rsid w:val="00E47356"/>
    <w:rsid w:val="00E83CBA"/>
    <w:rsid w:val="00E8669F"/>
    <w:rsid w:val="00E91032"/>
    <w:rsid w:val="00E929B0"/>
    <w:rsid w:val="00E92EFF"/>
    <w:rsid w:val="00E94903"/>
    <w:rsid w:val="00E96A40"/>
    <w:rsid w:val="00EA24C8"/>
    <w:rsid w:val="00EA3784"/>
    <w:rsid w:val="00EB5EEA"/>
    <w:rsid w:val="00EB6665"/>
    <w:rsid w:val="00EC3096"/>
    <w:rsid w:val="00EC443D"/>
    <w:rsid w:val="00EC54E9"/>
    <w:rsid w:val="00ED2AC4"/>
    <w:rsid w:val="00EE1433"/>
    <w:rsid w:val="00EE5479"/>
    <w:rsid w:val="00EF5814"/>
    <w:rsid w:val="00F03266"/>
    <w:rsid w:val="00F13BC0"/>
    <w:rsid w:val="00F35F46"/>
    <w:rsid w:val="00F407CE"/>
    <w:rsid w:val="00F4628C"/>
    <w:rsid w:val="00F47A7C"/>
    <w:rsid w:val="00F51165"/>
    <w:rsid w:val="00F515F4"/>
    <w:rsid w:val="00F51A95"/>
    <w:rsid w:val="00F51D78"/>
    <w:rsid w:val="00F53498"/>
    <w:rsid w:val="00F5387B"/>
    <w:rsid w:val="00F652E9"/>
    <w:rsid w:val="00F6575F"/>
    <w:rsid w:val="00F67A6C"/>
    <w:rsid w:val="00F711FD"/>
    <w:rsid w:val="00F71615"/>
    <w:rsid w:val="00F82C56"/>
    <w:rsid w:val="00FA7E86"/>
    <w:rsid w:val="00FB111B"/>
    <w:rsid w:val="00FB7525"/>
    <w:rsid w:val="00FE36EA"/>
    <w:rsid w:val="00FF1334"/>
    <w:rsid w:val="00FF523A"/>
    <w:rsid w:val="011E70C4"/>
    <w:rsid w:val="0120B97B"/>
    <w:rsid w:val="013A06CE"/>
    <w:rsid w:val="015848C5"/>
    <w:rsid w:val="0186F213"/>
    <w:rsid w:val="018977D1"/>
    <w:rsid w:val="01948473"/>
    <w:rsid w:val="01E91EFF"/>
    <w:rsid w:val="0214312B"/>
    <w:rsid w:val="02177DF1"/>
    <w:rsid w:val="021FDA60"/>
    <w:rsid w:val="0227D82F"/>
    <w:rsid w:val="023AE6F0"/>
    <w:rsid w:val="023E0DB8"/>
    <w:rsid w:val="024101F9"/>
    <w:rsid w:val="02750D81"/>
    <w:rsid w:val="028C2A75"/>
    <w:rsid w:val="02C33C46"/>
    <w:rsid w:val="02D8AC93"/>
    <w:rsid w:val="02FFA956"/>
    <w:rsid w:val="034CE572"/>
    <w:rsid w:val="037C9F3F"/>
    <w:rsid w:val="03B531FA"/>
    <w:rsid w:val="03B66F1A"/>
    <w:rsid w:val="03E16A5D"/>
    <w:rsid w:val="04040AE7"/>
    <w:rsid w:val="04060B3E"/>
    <w:rsid w:val="0409992E"/>
    <w:rsid w:val="042A9BC9"/>
    <w:rsid w:val="042F8BF3"/>
    <w:rsid w:val="0443AE6D"/>
    <w:rsid w:val="0459F80B"/>
    <w:rsid w:val="046E4C33"/>
    <w:rsid w:val="048C0FA9"/>
    <w:rsid w:val="04C65226"/>
    <w:rsid w:val="04E8F3CB"/>
    <w:rsid w:val="058290A4"/>
    <w:rsid w:val="059962E1"/>
    <w:rsid w:val="059F0B3D"/>
    <w:rsid w:val="05A596BE"/>
    <w:rsid w:val="05A9D4A8"/>
    <w:rsid w:val="05B8BFC1"/>
    <w:rsid w:val="060B4BB7"/>
    <w:rsid w:val="0628B881"/>
    <w:rsid w:val="062EAE34"/>
    <w:rsid w:val="06587B63"/>
    <w:rsid w:val="068A27A7"/>
    <w:rsid w:val="06BA76CC"/>
    <w:rsid w:val="06CE9318"/>
    <w:rsid w:val="06DAC21F"/>
    <w:rsid w:val="0708CAC2"/>
    <w:rsid w:val="0720A1D6"/>
    <w:rsid w:val="0725032F"/>
    <w:rsid w:val="075F1924"/>
    <w:rsid w:val="078E9395"/>
    <w:rsid w:val="07C8D90F"/>
    <w:rsid w:val="081D2BB2"/>
    <w:rsid w:val="08314EE5"/>
    <w:rsid w:val="085F8C77"/>
    <w:rsid w:val="088C5AC1"/>
    <w:rsid w:val="08C735D0"/>
    <w:rsid w:val="08CF45EB"/>
    <w:rsid w:val="08D26ED1"/>
    <w:rsid w:val="093978E2"/>
    <w:rsid w:val="093F8E9B"/>
    <w:rsid w:val="095B64F8"/>
    <w:rsid w:val="09C90EB7"/>
    <w:rsid w:val="09DD5540"/>
    <w:rsid w:val="09E5DB73"/>
    <w:rsid w:val="09ED0C4B"/>
    <w:rsid w:val="09FF7B23"/>
    <w:rsid w:val="0A20C771"/>
    <w:rsid w:val="0A3F3A46"/>
    <w:rsid w:val="0A4D0C35"/>
    <w:rsid w:val="0A504763"/>
    <w:rsid w:val="0A5D7919"/>
    <w:rsid w:val="0AFDA585"/>
    <w:rsid w:val="0B3C629A"/>
    <w:rsid w:val="0B87C982"/>
    <w:rsid w:val="0B950FB5"/>
    <w:rsid w:val="0BDE2C42"/>
    <w:rsid w:val="0BE88DDC"/>
    <w:rsid w:val="0C24B873"/>
    <w:rsid w:val="0C2E3AFF"/>
    <w:rsid w:val="0C4DA55B"/>
    <w:rsid w:val="0C6215B8"/>
    <w:rsid w:val="0C783A90"/>
    <w:rsid w:val="0C8029A9"/>
    <w:rsid w:val="0CAD7087"/>
    <w:rsid w:val="0CB2CAE2"/>
    <w:rsid w:val="0CD131A4"/>
    <w:rsid w:val="0CE44CB8"/>
    <w:rsid w:val="0CFC7895"/>
    <w:rsid w:val="0D17D5D5"/>
    <w:rsid w:val="0D2054BE"/>
    <w:rsid w:val="0D39F27D"/>
    <w:rsid w:val="0D4ADA5B"/>
    <w:rsid w:val="0D63DD01"/>
    <w:rsid w:val="0DBA1395"/>
    <w:rsid w:val="0DC1481C"/>
    <w:rsid w:val="0DD76415"/>
    <w:rsid w:val="0DD92E29"/>
    <w:rsid w:val="0DE63613"/>
    <w:rsid w:val="0E55E240"/>
    <w:rsid w:val="0E563695"/>
    <w:rsid w:val="0E63F1F2"/>
    <w:rsid w:val="0E68A139"/>
    <w:rsid w:val="0E816CD5"/>
    <w:rsid w:val="0EAAAB83"/>
    <w:rsid w:val="0EBB6380"/>
    <w:rsid w:val="0F27D8A3"/>
    <w:rsid w:val="0F5E9356"/>
    <w:rsid w:val="0F76D136"/>
    <w:rsid w:val="0F7FEE57"/>
    <w:rsid w:val="0F9A291C"/>
    <w:rsid w:val="0FA12536"/>
    <w:rsid w:val="0FA8344C"/>
    <w:rsid w:val="0FD63734"/>
    <w:rsid w:val="0FD95475"/>
    <w:rsid w:val="0FE96480"/>
    <w:rsid w:val="0FEEA2C7"/>
    <w:rsid w:val="1025528F"/>
    <w:rsid w:val="1031CBEC"/>
    <w:rsid w:val="107D7356"/>
    <w:rsid w:val="10A58FDC"/>
    <w:rsid w:val="10AB6C63"/>
    <w:rsid w:val="115C6703"/>
    <w:rsid w:val="11620743"/>
    <w:rsid w:val="1166F4AD"/>
    <w:rsid w:val="11A2FC54"/>
    <w:rsid w:val="11DD5AD3"/>
    <w:rsid w:val="11F091DD"/>
    <w:rsid w:val="1207DAE5"/>
    <w:rsid w:val="120F73F0"/>
    <w:rsid w:val="121D452F"/>
    <w:rsid w:val="1237C2DC"/>
    <w:rsid w:val="12730AF2"/>
    <w:rsid w:val="127C634D"/>
    <w:rsid w:val="12C34A01"/>
    <w:rsid w:val="12C8361F"/>
    <w:rsid w:val="12C96431"/>
    <w:rsid w:val="12E47255"/>
    <w:rsid w:val="12E71992"/>
    <w:rsid w:val="12FE5EB2"/>
    <w:rsid w:val="1333BC7E"/>
    <w:rsid w:val="1345437D"/>
    <w:rsid w:val="13858404"/>
    <w:rsid w:val="139DED7B"/>
    <w:rsid w:val="1401A752"/>
    <w:rsid w:val="142AB01F"/>
    <w:rsid w:val="1431407F"/>
    <w:rsid w:val="14314658"/>
    <w:rsid w:val="1464A361"/>
    <w:rsid w:val="14834DB1"/>
    <w:rsid w:val="14976A28"/>
    <w:rsid w:val="14C85A58"/>
    <w:rsid w:val="15080450"/>
    <w:rsid w:val="152BE23B"/>
    <w:rsid w:val="1530065D"/>
    <w:rsid w:val="1573469F"/>
    <w:rsid w:val="1577A05B"/>
    <w:rsid w:val="15803430"/>
    <w:rsid w:val="15EE7626"/>
    <w:rsid w:val="160C34FD"/>
    <w:rsid w:val="163315D1"/>
    <w:rsid w:val="166B8AA9"/>
    <w:rsid w:val="169B969F"/>
    <w:rsid w:val="1721E2A6"/>
    <w:rsid w:val="17608263"/>
    <w:rsid w:val="177BB7E3"/>
    <w:rsid w:val="17A5A0F5"/>
    <w:rsid w:val="17F881C4"/>
    <w:rsid w:val="18157B27"/>
    <w:rsid w:val="18163767"/>
    <w:rsid w:val="181F9BBF"/>
    <w:rsid w:val="182BC910"/>
    <w:rsid w:val="18428CD5"/>
    <w:rsid w:val="184FD7C3"/>
    <w:rsid w:val="1859CD9B"/>
    <w:rsid w:val="185E7F0C"/>
    <w:rsid w:val="188D6083"/>
    <w:rsid w:val="1891C612"/>
    <w:rsid w:val="18AAA88B"/>
    <w:rsid w:val="18BB85C5"/>
    <w:rsid w:val="18C39A52"/>
    <w:rsid w:val="18EFBD7B"/>
    <w:rsid w:val="1923514D"/>
    <w:rsid w:val="193B05D0"/>
    <w:rsid w:val="196CA7C5"/>
    <w:rsid w:val="19A446F4"/>
    <w:rsid w:val="19BA8517"/>
    <w:rsid w:val="19DEF189"/>
    <w:rsid w:val="19E40FA8"/>
    <w:rsid w:val="19E4D725"/>
    <w:rsid w:val="1A1C2B74"/>
    <w:rsid w:val="1A21A4DE"/>
    <w:rsid w:val="1A58630F"/>
    <w:rsid w:val="1A5AB5E0"/>
    <w:rsid w:val="1A701631"/>
    <w:rsid w:val="1AA238AF"/>
    <w:rsid w:val="1AB34A39"/>
    <w:rsid w:val="1ACAD963"/>
    <w:rsid w:val="1ADA9892"/>
    <w:rsid w:val="1B02B0B4"/>
    <w:rsid w:val="1B14FD4A"/>
    <w:rsid w:val="1B2E1C11"/>
    <w:rsid w:val="1B2E7FB2"/>
    <w:rsid w:val="1B30A191"/>
    <w:rsid w:val="1B3C9449"/>
    <w:rsid w:val="1B7FC690"/>
    <w:rsid w:val="1BA2E55A"/>
    <w:rsid w:val="1BDB0ABF"/>
    <w:rsid w:val="1BEA9667"/>
    <w:rsid w:val="1C03B826"/>
    <w:rsid w:val="1C23ADBA"/>
    <w:rsid w:val="1C76F02A"/>
    <w:rsid w:val="1C7B012B"/>
    <w:rsid w:val="1C8BE08B"/>
    <w:rsid w:val="1CC0624F"/>
    <w:rsid w:val="1CD2325C"/>
    <w:rsid w:val="1CEE7865"/>
    <w:rsid w:val="1CF11673"/>
    <w:rsid w:val="1D12F251"/>
    <w:rsid w:val="1D1B5591"/>
    <w:rsid w:val="1D23D88E"/>
    <w:rsid w:val="1D378822"/>
    <w:rsid w:val="1D3A6B34"/>
    <w:rsid w:val="1D407B1B"/>
    <w:rsid w:val="1D4659B3"/>
    <w:rsid w:val="1D682919"/>
    <w:rsid w:val="1DEA001E"/>
    <w:rsid w:val="1DF87A39"/>
    <w:rsid w:val="1E026504"/>
    <w:rsid w:val="1E0E6039"/>
    <w:rsid w:val="1E33C1CB"/>
    <w:rsid w:val="1E8E2C02"/>
    <w:rsid w:val="1EE1DCB0"/>
    <w:rsid w:val="1F19AE84"/>
    <w:rsid w:val="1F2BB824"/>
    <w:rsid w:val="1F469C5F"/>
    <w:rsid w:val="1F46F756"/>
    <w:rsid w:val="1F54FD4E"/>
    <w:rsid w:val="1F57A976"/>
    <w:rsid w:val="1F6FCFFC"/>
    <w:rsid w:val="1F99D359"/>
    <w:rsid w:val="1FC400FF"/>
    <w:rsid w:val="2002E407"/>
    <w:rsid w:val="20127CE0"/>
    <w:rsid w:val="2040697B"/>
    <w:rsid w:val="2099928B"/>
    <w:rsid w:val="20B6C98A"/>
    <w:rsid w:val="20C369A3"/>
    <w:rsid w:val="20D7131C"/>
    <w:rsid w:val="20DF109A"/>
    <w:rsid w:val="21022A30"/>
    <w:rsid w:val="216A3178"/>
    <w:rsid w:val="21D4308D"/>
    <w:rsid w:val="2209FC36"/>
    <w:rsid w:val="221BFF74"/>
    <w:rsid w:val="22241548"/>
    <w:rsid w:val="224CF49B"/>
    <w:rsid w:val="22774862"/>
    <w:rsid w:val="22B45528"/>
    <w:rsid w:val="2358B7F0"/>
    <w:rsid w:val="239EE544"/>
    <w:rsid w:val="23A16CC8"/>
    <w:rsid w:val="23B35A7D"/>
    <w:rsid w:val="23BD7C54"/>
    <w:rsid w:val="23D77AE1"/>
    <w:rsid w:val="23E7C64B"/>
    <w:rsid w:val="23EC1483"/>
    <w:rsid w:val="2450FFD4"/>
    <w:rsid w:val="24776C6B"/>
    <w:rsid w:val="24A09728"/>
    <w:rsid w:val="24C60620"/>
    <w:rsid w:val="24D5DF68"/>
    <w:rsid w:val="24E80CF3"/>
    <w:rsid w:val="24EFF9AA"/>
    <w:rsid w:val="2508C047"/>
    <w:rsid w:val="250DE798"/>
    <w:rsid w:val="251EA9AA"/>
    <w:rsid w:val="2535092B"/>
    <w:rsid w:val="253E0B69"/>
    <w:rsid w:val="2557E3B1"/>
    <w:rsid w:val="256253B8"/>
    <w:rsid w:val="2586B365"/>
    <w:rsid w:val="25939CDC"/>
    <w:rsid w:val="25BF7C5C"/>
    <w:rsid w:val="25E8241B"/>
    <w:rsid w:val="25FFC32C"/>
    <w:rsid w:val="26078624"/>
    <w:rsid w:val="261E7E99"/>
    <w:rsid w:val="26305695"/>
    <w:rsid w:val="26488C8C"/>
    <w:rsid w:val="269C35C6"/>
    <w:rsid w:val="26B428B7"/>
    <w:rsid w:val="26BA3C62"/>
    <w:rsid w:val="2769DFB1"/>
    <w:rsid w:val="27CEE07D"/>
    <w:rsid w:val="27D1B669"/>
    <w:rsid w:val="27D44440"/>
    <w:rsid w:val="27D9BA0D"/>
    <w:rsid w:val="282EBCC1"/>
    <w:rsid w:val="28408C69"/>
    <w:rsid w:val="28466AEA"/>
    <w:rsid w:val="28886F2D"/>
    <w:rsid w:val="28ACA824"/>
    <w:rsid w:val="28BE4DA9"/>
    <w:rsid w:val="28F58BF8"/>
    <w:rsid w:val="2915D578"/>
    <w:rsid w:val="29371505"/>
    <w:rsid w:val="293E9EBD"/>
    <w:rsid w:val="295790DF"/>
    <w:rsid w:val="298AFB0E"/>
    <w:rsid w:val="29904826"/>
    <w:rsid w:val="29C63CD1"/>
    <w:rsid w:val="2A197D43"/>
    <w:rsid w:val="2A1B5043"/>
    <w:rsid w:val="2A2F5D0A"/>
    <w:rsid w:val="2A4D2F22"/>
    <w:rsid w:val="2A4F77AF"/>
    <w:rsid w:val="2A5233B4"/>
    <w:rsid w:val="2A53D021"/>
    <w:rsid w:val="2AA1DABB"/>
    <w:rsid w:val="2AA533C8"/>
    <w:rsid w:val="2AADE8E8"/>
    <w:rsid w:val="2B365204"/>
    <w:rsid w:val="2B7060A4"/>
    <w:rsid w:val="2B733A2E"/>
    <w:rsid w:val="2B7461F0"/>
    <w:rsid w:val="2BD7E0DD"/>
    <w:rsid w:val="2C05B493"/>
    <w:rsid w:val="2C0D45A1"/>
    <w:rsid w:val="2C4A616A"/>
    <w:rsid w:val="2C52E2D5"/>
    <w:rsid w:val="2C837CF0"/>
    <w:rsid w:val="2CB88335"/>
    <w:rsid w:val="2CBAD662"/>
    <w:rsid w:val="2CEBEB2C"/>
    <w:rsid w:val="2D13AE83"/>
    <w:rsid w:val="2D3028A2"/>
    <w:rsid w:val="2D415023"/>
    <w:rsid w:val="2D44227A"/>
    <w:rsid w:val="2D491B14"/>
    <w:rsid w:val="2D4A2082"/>
    <w:rsid w:val="2D5490DE"/>
    <w:rsid w:val="2D70364C"/>
    <w:rsid w:val="2D8F96A1"/>
    <w:rsid w:val="2DA62270"/>
    <w:rsid w:val="2DA7706B"/>
    <w:rsid w:val="2DBF80EE"/>
    <w:rsid w:val="2DD2743B"/>
    <w:rsid w:val="2DFF93ED"/>
    <w:rsid w:val="2E19C93E"/>
    <w:rsid w:val="2E3008C8"/>
    <w:rsid w:val="2E66BB2F"/>
    <w:rsid w:val="2E8C896E"/>
    <w:rsid w:val="2E94B49E"/>
    <w:rsid w:val="2EA16F82"/>
    <w:rsid w:val="2EA9722E"/>
    <w:rsid w:val="2EB0E685"/>
    <w:rsid w:val="2EBE92AB"/>
    <w:rsid w:val="2EEB26EF"/>
    <w:rsid w:val="2EFB9926"/>
    <w:rsid w:val="2F0C37C0"/>
    <w:rsid w:val="2F10EDE0"/>
    <w:rsid w:val="2F4E9663"/>
    <w:rsid w:val="2F5AA630"/>
    <w:rsid w:val="2F60CAD1"/>
    <w:rsid w:val="2F6BF561"/>
    <w:rsid w:val="2F90D5E1"/>
    <w:rsid w:val="2FA0DA2B"/>
    <w:rsid w:val="2FA9FE6F"/>
    <w:rsid w:val="2FC241F5"/>
    <w:rsid w:val="2FC5A6C9"/>
    <w:rsid w:val="2FC5C82A"/>
    <w:rsid w:val="2FD6051B"/>
    <w:rsid w:val="2FFDB3C0"/>
    <w:rsid w:val="3013080D"/>
    <w:rsid w:val="3040F99F"/>
    <w:rsid w:val="30567FB8"/>
    <w:rsid w:val="3075AAD0"/>
    <w:rsid w:val="308C0F03"/>
    <w:rsid w:val="3092166C"/>
    <w:rsid w:val="30CFA0DA"/>
    <w:rsid w:val="30DD8E3B"/>
    <w:rsid w:val="30DD9E94"/>
    <w:rsid w:val="30EFE70A"/>
    <w:rsid w:val="30F263FF"/>
    <w:rsid w:val="30F2E5CF"/>
    <w:rsid w:val="30FAEE4F"/>
    <w:rsid w:val="31614209"/>
    <w:rsid w:val="31715576"/>
    <w:rsid w:val="3176D5C2"/>
    <w:rsid w:val="3186E144"/>
    <w:rsid w:val="31D194FB"/>
    <w:rsid w:val="320317FD"/>
    <w:rsid w:val="3203E35E"/>
    <w:rsid w:val="32061EFD"/>
    <w:rsid w:val="320A25DA"/>
    <w:rsid w:val="3226F678"/>
    <w:rsid w:val="322E5144"/>
    <w:rsid w:val="323396FA"/>
    <w:rsid w:val="323DF8BB"/>
    <w:rsid w:val="324487E3"/>
    <w:rsid w:val="3282754C"/>
    <w:rsid w:val="3295B56E"/>
    <w:rsid w:val="329D46D0"/>
    <w:rsid w:val="32A8DEB5"/>
    <w:rsid w:val="3323A13F"/>
    <w:rsid w:val="3335250E"/>
    <w:rsid w:val="333AEF50"/>
    <w:rsid w:val="3342FDEF"/>
    <w:rsid w:val="334F70BA"/>
    <w:rsid w:val="335EC17B"/>
    <w:rsid w:val="3379C2D0"/>
    <w:rsid w:val="33965FC1"/>
    <w:rsid w:val="339B8A5D"/>
    <w:rsid w:val="33CF1334"/>
    <w:rsid w:val="33D6A5D6"/>
    <w:rsid w:val="3408B215"/>
    <w:rsid w:val="340E974F"/>
    <w:rsid w:val="34354836"/>
    <w:rsid w:val="344F9440"/>
    <w:rsid w:val="3450A386"/>
    <w:rsid w:val="34AF8485"/>
    <w:rsid w:val="34BE4290"/>
    <w:rsid w:val="34CE2A69"/>
    <w:rsid w:val="34D9B259"/>
    <w:rsid w:val="34F4DE45"/>
    <w:rsid w:val="350EC0CA"/>
    <w:rsid w:val="351C7001"/>
    <w:rsid w:val="352B9066"/>
    <w:rsid w:val="357AFE50"/>
    <w:rsid w:val="3584CB60"/>
    <w:rsid w:val="358B6237"/>
    <w:rsid w:val="35A66936"/>
    <w:rsid w:val="35ADD9A1"/>
    <w:rsid w:val="35B193C7"/>
    <w:rsid w:val="35CF030C"/>
    <w:rsid w:val="35FDFA5B"/>
    <w:rsid w:val="3616311D"/>
    <w:rsid w:val="3648A060"/>
    <w:rsid w:val="365B90B2"/>
    <w:rsid w:val="365EBF7E"/>
    <w:rsid w:val="366BE98F"/>
    <w:rsid w:val="367C85D6"/>
    <w:rsid w:val="36A3CE14"/>
    <w:rsid w:val="36A94EB8"/>
    <w:rsid w:val="36B468B1"/>
    <w:rsid w:val="36B60C2A"/>
    <w:rsid w:val="36C02818"/>
    <w:rsid w:val="36C25D0A"/>
    <w:rsid w:val="371628C8"/>
    <w:rsid w:val="373316FE"/>
    <w:rsid w:val="3736538E"/>
    <w:rsid w:val="3780880F"/>
    <w:rsid w:val="378DC0D0"/>
    <w:rsid w:val="379EE4D5"/>
    <w:rsid w:val="37B949C7"/>
    <w:rsid w:val="37CA4212"/>
    <w:rsid w:val="37E5C60E"/>
    <w:rsid w:val="37FC55DB"/>
    <w:rsid w:val="38019E27"/>
    <w:rsid w:val="383AAD88"/>
    <w:rsid w:val="384BC77B"/>
    <w:rsid w:val="3856E575"/>
    <w:rsid w:val="385951D9"/>
    <w:rsid w:val="3877578B"/>
    <w:rsid w:val="388636C9"/>
    <w:rsid w:val="3895173F"/>
    <w:rsid w:val="3952D276"/>
    <w:rsid w:val="39591910"/>
    <w:rsid w:val="398E1D00"/>
    <w:rsid w:val="399C8EE4"/>
    <w:rsid w:val="39AEC3B5"/>
    <w:rsid w:val="3A0ADF3B"/>
    <w:rsid w:val="3A285AF3"/>
    <w:rsid w:val="3A54F038"/>
    <w:rsid w:val="3A5A3DE1"/>
    <w:rsid w:val="3A61A722"/>
    <w:rsid w:val="3A63C6F3"/>
    <w:rsid w:val="3A661D5D"/>
    <w:rsid w:val="3A6DF7E8"/>
    <w:rsid w:val="3A72233E"/>
    <w:rsid w:val="3A78C0DE"/>
    <w:rsid w:val="3AA9291F"/>
    <w:rsid w:val="3AC51396"/>
    <w:rsid w:val="3B2FA80E"/>
    <w:rsid w:val="3B31F5BE"/>
    <w:rsid w:val="3B41F527"/>
    <w:rsid w:val="3B4C3789"/>
    <w:rsid w:val="3B6C58B3"/>
    <w:rsid w:val="3B78CE1D"/>
    <w:rsid w:val="3BAA1709"/>
    <w:rsid w:val="3BB430AA"/>
    <w:rsid w:val="3BC0B0F0"/>
    <w:rsid w:val="3BD27609"/>
    <w:rsid w:val="3BF76704"/>
    <w:rsid w:val="3C0CA98A"/>
    <w:rsid w:val="3C174F65"/>
    <w:rsid w:val="3C1F64B3"/>
    <w:rsid w:val="3C2B535F"/>
    <w:rsid w:val="3C426064"/>
    <w:rsid w:val="3C63EE64"/>
    <w:rsid w:val="3C83D3ED"/>
    <w:rsid w:val="3CA273EB"/>
    <w:rsid w:val="3CA42A53"/>
    <w:rsid w:val="3CAA75D7"/>
    <w:rsid w:val="3CAC2F87"/>
    <w:rsid w:val="3CBAD533"/>
    <w:rsid w:val="3D24D33D"/>
    <w:rsid w:val="3D54F937"/>
    <w:rsid w:val="3D64EBC6"/>
    <w:rsid w:val="3D6DB4EA"/>
    <w:rsid w:val="3D726F41"/>
    <w:rsid w:val="3D9EF89A"/>
    <w:rsid w:val="3D9FDD35"/>
    <w:rsid w:val="3DA88972"/>
    <w:rsid w:val="3DF376E7"/>
    <w:rsid w:val="3E1731AF"/>
    <w:rsid w:val="3E1ED261"/>
    <w:rsid w:val="3E30D89A"/>
    <w:rsid w:val="3E35F564"/>
    <w:rsid w:val="3E4A1AD2"/>
    <w:rsid w:val="3E65B168"/>
    <w:rsid w:val="3E76721A"/>
    <w:rsid w:val="3F05E1C4"/>
    <w:rsid w:val="3F094763"/>
    <w:rsid w:val="3F0D3B6B"/>
    <w:rsid w:val="3F63FA6A"/>
    <w:rsid w:val="3F792CB9"/>
    <w:rsid w:val="3F834AE4"/>
    <w:rsid w:val="3FC1B956"/>
    <w:rsid w:val="3FE1E348"/>
    <w:rsid w:val="4025FB17"/>
    <w:rsid w:val="402DA0A6"/>
    <w:rsid w:val="404A16C1"/>
    <w:rsid w:val="4063B90B"/>
    <w:rsid w:val="4075BE55"/>
    <w:rsid w:val="4077930B"/>
    <w:rsid w:val="407CB3EF"/>
    <w:rsid w:val="40B185D8"/>
    <w:rsid w:val="40DCAA9F"/>
    <w:rsid w:val="4100C1F2"/>
    <w:rsid w:val="410D0CDD"/>
    <w:rsid w:val="410E5DED"/>
    <w:rsid w:val="4151E954"/>
    <w:rsid w:val="415F0C3B"/>
    <w:rsid w:val="4194096E"/>
    <w:rsid w:val="41A99248"/>
    <w:rsid w:val="41FAE22C"/>
    <w:rsid w:val="41FBD868"/>
    <w:rsid w:val="42070F4B"/>
    <w:rsid w:val="4210AFDB"/>
    <w:rsid w:val="42115101"/>
    <w:rsid w:val="423AFFF1"/>
    <w:rsid w:val="428A6297"/>
    <w:rsid w:val="428CD51E"/>
    <w:rsid w:val="429F9AE5"/>
    <w:rsid w:val="42BBB043"/>
    <w:rsid w:val="42C4E778"/>
    <w:rsid w:val="4319866A"/>
    <w:rsid w:val="431D66B8"/>
    <w:rsid w:val="433860FA"/>
    <w:rsid w:val="4349CEF4"/>
    <w:rsid w:val="436A4661"/>
    <w:rsid w:val="438742A9"/>
    <w:rsid w:val="43B7FCA4"/>
    <w:rsid w:val="43E672B5"/>
    <w:rsid w:val="43FD899C"/>
    <w:rsid w:val="44098DCA"/>
    <w:rsid w:val="442D6A10"/>
    <w:rsid w:val="44AAFE85"/>
    <w:rsid w:val="44BDDD03"/>
    <w:rsid w:val="44D814F3"/>
    <w:rsid w:val="44DD17D0"/>
    <w:rsid w:val="4501C80E"/>
    <w:rsid w:val="4519041B"/>
    <w:rsid w:val="452AA304"/>
    <w:rsid w:val="456F516F"/>
    <w:rsid w:val="45828552"/>
    <w:rsid w:val="45AB0913"/>
    <w:rsid w:val="45C369FE"/>
    <w:rsid w:val="45F24F4E"/>
    <w:rsid w:val="460E52F2"/>
    <w:rsid w:val="4621033C"/>
    <w:rsid w:val="46300570"/>
    <w:rsid w:val="4648E1E4"/>
    <w:rsid w:val="464A2EB2"/>
    <w:rsid w:val="464A5CDA"/>
    <w:rsid w:val="4651F8E3"/>
    <w:rsid w:val="466A7346"/>
    <w:rsid w:val="468E3D68"/>
    <w:rsid w:val="468FA1EF"/>
    <w:rsid w:val="46CBFCA8"/>
    <w:rsid w:val="46DDAA77"/>
    <w:rsid w:val="470AE0C7"/>
    <w:rsid w:val="4744B859"/>
    <w:rsid w:val="47537DC6"/>
    <w:rsid w:val="4757E2D0"/>
    <w:rsid w:val="47658F82"/>
    <w:rsid w:val="477A7BF3"/>
    <w:rsid w:val="47BB63BF"/>
    <w:rsid w:val="47C606D3"/>
    <w:rsid w:val="47F19235"/>
    <w:rsid w:val="47F1FCA7"/>
    <w:rsid w:val="47FFBEA7"/>
    <w:rsid w:val="4819DD42"/>
    <w:rsid w:val="4835B8B9"/>
    <w:rsid w:val="486832AE"/>
    <w:rsid w:val="486AEBA8"/>
    <w:rsid w:val="48759CEF"/>
    <w:rsid w:val="487AFB05"/>
    <w:rsid w:val="488086B1"/>
    <w:rsid w:val="48A57200"/>
    <w:rsid w:val="48DDE402"/>
    <w:rsid w:val="48EF6DA2"/>
    <w:rsid w:val="492E9D30"/>
    <w:rsid w:val="494B1575"/>
    <w:rsid w:val="49860D42"/>
    <w:rsid w:val="4993B7B6"/>
    <w:rsid w:val="49B85C2F"/>
    <w:rsid w:val="49C15D19"/>
    <w:rsid w:val="49C1A906"/>
    <w:rsid w:val="49CB57BE"/>
    <w:rsid w:val="49D6B1CF"/>
    <w:rsid w:val="49FE503B"/>
    <w:rsid w:val="4A4075B6"/>
    <w:rsid w:val="4A580278"/>
    <w:rsid w:val="4A79D58E"/>
    <w:rsid w:val="4A82DCF6"/>
    <w:rsid w:val="4AA33AC9"/>
    <w:rsid w:val="4B0E7650"/>
    <w:rsid w:val="4B4A101E"/>
    <w:rsid w:val="4BA6D000"/>
    <w:rsid w:val="4BAA8F3C"/>
    <w:rsid w:val="4BE3C8FD"/>
    <w:rsid w:val="4BF295F0"/>
    <w:rsid w:val="4BF7B84F"/>
    <w:rsid w:val="4C30E61E"/>
    <w:rsid w:val="4C7AC401"/>
    <w:rsid w:val="4C7D78E7"/>
    <w:rsid w:val="4C9949AB"/>
    <w:rsid w:val="4C9F9CDB"/>
    <w:rsid w:val="4CC4E04B"/>
    <w:rsid w:val="4D0C30B5"/>
    <w:rsid w:val="4D445807"/>
    <w:rsid w:val="4D44BA4A"/>
    <w:rsid w:val="4D9642A1"/>
    <w:rsid w:val="4DA04632"/>
    <w:rsid w:val="4DAD11EC"/>
    <w:rsid w:val="4DC6AE4D"/>
    <w:rsid w:val="4DC8862A"/>
    <w:rsid w:val="4DDE3F8B"/>
    <w:rsid w:val="4DF2D809"/>
    <w:rsid w:val="4DF4BAFB"/>
    <w:rsid w:val="4E88CE74"/>
    <w:rsid w:val="4EB5C68F"/>
    <w:rsid w:val="4F12561A"/>
    <w:rsid w:val="4F574B55"/>
    <w:rsid w:val="4F6BFEC4"/>
    <w:rsid w:val="4F86AB1B"/>
    <w:rsid w:val="4FA6E11A"/>
    <w:rsid w:val="4FB49CE2"/>
    <w:rsid w:val="4FC6BC3C"/>
    <w:rsid w:val="4FDE1799"/>
    <w:rsid w:val="5010DA16"/>
    <w:rsid w:val="5019239F"/>
    <w:rsid w:val="501C01E2"/>
    <w:rsid w:val="5045293F"/>
    <w:rsid w:val="506EDE1B"/>
    <w:rsid w:val="50715986"/>
    <w:rsid w:val="50CAAA9C"/>
    <w:rsid w:val="50CACD89"/>
    <w:rsid w:val="50F12E7E"/>
    <w:rsid w:val="516D7F4A"/>
    <w:rsid w:val="51819943"/>
    <w:rsid w:val="5198F94C"/>
    <w:rsid w:val="519BB977"/>
    <w:rsid w:val="5209FC5F"/>
    <w:rsid w:val="520B3B67"/>
    <w:rsid w:val="523D4578"/>
    <w:rsid w:val="523F6EDB"/>
    <w:rsid w:val="52446DD3"/>
    <w:rsid w:val="525541BE"/>
    <w:rsid w:val="527B0402"/>
    <w:rsid w:val="528762A4"/>
    <w:rsid w:val="5292A36F"/>
    <w:rsid w:val="529A88F7"/>
    <w:rsid w:val="52D3B148"/>
    <w:rsid w:val="532D0324"/>
    <w:rsid w:val="5333B07D"/>
    <w:rsid w:val="5374808B"/>
    <w:rsid w:val="53998F91"/>
    <w:rsid w:val="53B108CC"/>
    <w:rsid w:val="53D70F1D"/>
    <w:rsid w:val="540B0FCF"/>
    <w:rsid w:val="5423BC7C"/>
    <w:rsid w:val="545BB4C6"/>
    <w:rsid w:val="548A4113"/>
    <w:rsid w:val="54978A7D"/>
    <w:rsid w:val="54B35E1C"/>
    <w:rsid w:val="54EE37D0"/>
    <w:rsid w:val="5515E5F5"/>
    <w:rsid w:val="551D7FAD"/>
    <w:rsid w:val="5555FCF8"/>
    <w:rsid w:val="557BCCF5"/>
    <w:rsid w:val="55A999E3"/>
    <w:rsid w:val="55C0ADED"/>
    <w:rsid w:val="55FAC1AA"/>
    <w:rsid w:val="560690E8"/>
    <w:rsid w:val="5677240C"/>
    <w:rsid w:val="568A6AE5"/>
    <w:rsid w:val="56C3EEBA"/>
    <w:rsid w:val="56D73918"/>
    <w:rsid w:val="56FCA41F"/>
    <w:rsid w:val="57064A64"/>
    <w:rsid w:val="571067D3"/>
    <w:rsid w:val="5726A3DC"/>
    <w:rsid w:val="5737033E"/>
    <w:rsid w:val="573CF2FE"/>
    <w:rsid w:val="57A554B4"/>
    <w:rsid w:val="57CB6BFB"/>
    <w:rsid w:val="57E4F0C3"/>
    <w:rsid w:val="57FCE062"/>
    <w:rsid w:val="582F2599"/>
    <w:rsid w:val="587CA158"/>
    <w:rsid w:val="5892DE6C"/>
    <w:rsid w:val="58B54D4B"/>
    <w:rsid w:val="58F5FAB0"/>
    <w:rsid w:val="591D0BB6"/>
    <w:rsid w:val="599A72B8"/>
    <w:rsid w:val="59A0D335"/>
    <w:rsid w:val="59DF0FF9"/>
    <w:rsid w:val="59E06A08"/>
    <w:rsid w:val="59E2EFF1"/>
    <w:rsid w:val="59F969E1"/>
    <w:rsid w:val="5A24E741"/>
    <w:rsid w:val="5A3D2E21"/>
    <w:rsid w:val="5A58C1A0"/>
    <w:rsid w:val="5A805917"/>
    <w:rsid w:val="5AB8A613"/>
    <w:rsid w:val="5AD96D70"/>
    <w:rsid w:val="5B0D1EED"/>
    <w:rsid w:val="5B2DDE99"/>
    <w:rsid w:val="5B2EE90D"/>
    <w:rsid w:val="5B32B452"/>
    <w:rsid w:val="5B7D0E2F"/>
    <w:rsid w:val="5BB7B3AC"/>
    <w:rsid w:val="5BBA1112"/>
    <w:rsid w:val="5BC64D4A"/>
    <w:rsid w:val="5BD76FF8"/>
    <w:rsid w:val="5BDB1C2A"/>
    <w:rsid w:val="5BE7EC80"/>
    <w:rsid w:val="5C04138A"/>
    <w:rsid w:val="5C51552F"/>
    <w:rsid w:val="5C59D59F"/>
    <w:rsid w:val="5C686A2E"/>
    <w:rsid w:val="5C76509F"/>
    <w:rsid w:val="5C76E68A"/>
    <w:rsid w:val="5C8CAC81"/>
    <w:rsid w:val="5CA6CC43"/>
    <w:rsid w:val="5CDCAB78"/>
    <w:rsid w:val="5CF0C53B"/>
    <w:rsid w:val="5CF40962"/>
    <w:rsid w:val="5D018E6A"/>
    <w:rsid w:val="5D149806"/>
    <w:rsid w:val="5D1640DD"/>
    <w:rsid w:val="5D1A05C6"/>
    <w:rsid w:val="5D231A3C"/>
    <w:rsid w:val="5D2AE1BD"/>
    <w:rsid w:val="5D73F1AC"/>
    <w:rsid w:val="5D83B746"/>
    <w:rsid w:val="5D8CDB20"/>
    <w:rsid w:val="5D9A8691"/>
    <w:rsid w:val="5DB5C2B9"/>
    <w:rsid w:val="5DCFB5D8"/>
    <w:rsid w:val="5E203530"/>
    <w:rsid w:val="5E3B9F57"/>
    <w:rsid w:val="5E536601"/>
    <w:rsid w:val="5E58C687"/>
    <w:rsid w:val="5E5C5E75"/>
    <w:rsid w:val="5E74FBFC"/>
    <w:rsid w:val="5E8DE026"/>
    <w:rsid w:val="5E93EADF"/>
    <w:rsid w:val="5E9CD7FD"/>
    <w:rsid w:val="5EA57E15"/>
    <w:rsid w:val="5EAE9382"/>
    <w:rsid w:val="5ED4A9B0"/>
    <w:rsid w:val="5EF6A5E9"/>
    <w:rsid w:val="5F1A331B"/>
    <w:rsid w:val="5F3A31E6"/>
    <w:rsid w:val="5F633DE4"/>
    <w:rsid w:val="5F9B3DCD"/>
    <w:rsid w:val="5F9FAF34"/>
    <w:rsid w:val="5FC9030B"/>
    <w:rsid w:val="5FDD5994"/>
    <w:rsid w:val="600A13E8"/>
    <w:rsid w:val="600A32D6"/>
    <w:rsid w:val="600D3C71"/>
    <w:rsid w:val="60445222"/>
    <w:rsid w:val="604B318A"/>
    <w:rsid w:val="60519FE3"/>
    <w:rsid w:val="6061B5AF"/>
    <w:rsid w:val="608280F7"/>
    <w:rsid w:val="60A722A0"/>
    <w:rsid w:val="61033278"/>
    <w:rsid w:val="613963AE"/>
    <w:rsid w:val="613AF6B8"/>
    <w:rsid w:val="616E6C14"/>
    <w:rsid w:val="6174FE80"/>
    <w:rsid w:val="618E5AD5"/>
    <w:rsid w:val="61969F42"/>
    <w:rsid w:val="61BB7A03"/>
    <w:rsid w:val="62005E48"/>
    <w:rsid w:val="6203BF35"/>
    <w:rsid w:val="6258BB21"/>
    <w:rsid w:val="62AD3BB1"/>
    <w:rsid w:val="62C730FC"/>
    <w:rsid w:val="62CD3237"/>
    <w:rsid w:val="630B8A26"/>
    <w:rsid w:val="6321C6A2"/>
    <w:rsid w:val="634EC50A"/>
    <w:rsid w:val="63A29B26"/>
    <w:rsid w:val="63B1CCE9"/>
    <w:rsid w:val="63E55EBD"/>
    <w:rsid w:val="6432505D"/>
    <w:rsid w:val="644015C3"/>
    <w:rsid w:val="644DB7B3"/>
    <w:rsid w:val="645DB23A"/>
    <w:rsid w:val="646F9477"/>
    <w:rsid w:val="647277FF"/>
    <w:rsid w:val="64765444"/>
    <w:rsid w:val="64974C24"/>
    <w:rsid w:val="64A1FE99"/>
    <w:rsid w:val="64C68E0A"/>
    <w:rsid w:val="652EF556"/>
    <w:rsid w:val="653AEDE6"/>
    <w:rsid w:val="653DD71F"/>
    <w:rsid w:val="6548B915"/>
    <w:rsid w:val="65534ED3"/>
    <w:rsid w:val="655FD8B1"/>
    <w:rsid w:val="65612370"/>
    <w:rsid w:val="659016A8"/>
    <w:rsid w:val="65C403C2"/>
    <w:rsid w:val="661C5856"/>
    <w:rsid w:val="663B61EB"/>
    <w:rsid w:val="66787E9B"/>
    <w:rsid w:val="66792221"/>
    <w:rsid w:val="6683A1B3"/>
    <w:rsid w:val="66969777"/>
    <w:rsid w:val="66C9532D"/>
    <w:rsid w:val="66FCA16E"/>
    <w:rsid w:val="67055123"/>
    <w:rsid w:val="671F4F05"/>
    <w:rsid w:val="67228306"/>
    <w:rsid w:val="67470581"/>
    <w:rsid w:val="6758463D"/>
    <w:rsid w:val="6791FC77"/>
    <w:rsid w:val="67A9F642"/>
    <w:rsid w:val="67B39422"/>
    <w:rsid w:val="67CE7BAD"/>
    <w:rsid w:val="68505050"/>
    <w:rsid w:val="6874BC91"/>
    <w:rsid w:val="689F6949"/>
    <w:rsid w:val="68AD736F"/>
    <w:rsid w:val="692755C1"/>
    <w:rsid w:val="699A7181"/>
    <w:rsid w:val="69CC4756"/>
    <w:rsid w:val="69E50347"/>
    <w:rsid w:val="6A01BDA8"/>
    <w:rsid w:val="6A1FB895"/>
    <w:rsid w:val="6A35B484"/>
    <w:rsid w:val="6A36DD1E"/>
    <w:rsid w:val="6AD32083"/>
    <w:rsid w:val="6AD3F067"/>
    <w:rsid w:val="6B1473CE"/>
    <w:rsid w:val="6B1FC442"/>
    <w:rsid w:val="6B66BE7F"/>
    <w:rsid w:val="6B6EE364"/>
    <w:rsid w:val="6B93836B"/>
    <w:rsid w:val="6BBBFB1A"/>
    <w:rsid w:val="6BC98D8C"/>
    <w:rsid w:val="6BD01743"/>
    <w:rsid w:val="6BE6FE87"/>
    <w:rsid w:val="6C15220A"/>
    <w:rsid w:val="6C29A900"/>
    <w:rsid w:val="6C2B3D44"/>
    <w:rsid w:val="6C343493"/>
    <w:rsid w:val="6C4B1389"/>
    <w:rsid w:val="6C6BA6BC"/>
    <w:rsid w:val="6C74269E"/>
    <w:rsid w:val="6C9DE6F8"/>
    <w:rsid w:val="6CA3F1FD"/>
    <w:rsid w:val="6CB2D6A8"/>
    <w:rsid w:val="6CD0C50C"/>
    <w:rsid w:val="6CD3C5AD"/>
    <w:rsid w:val="6CDD4E01"/>
    <w:rsid w:val="6CF929AF"/>
    <w:rsid w:val="6D4004E1"/>
    <w:rsid w:val="6D44F6D6"/>
    <w:rsid w:val="6D457EA7"/>
    <w:rsid w:val="6D4AAC4F"/>
    <w:rsid w:val="6D5CEDC0"/>
    <w:rsid w:val="6D6AAC69"/>
    <w:rsid w:val="6D6E6F16"/>
    <w:rsid w:val="6D8436E6"/>
    <w:rsid w:val="6D85ED81"/>
    <w:rsid w:val="6DC8E749"/>
    <w:rsid w:val="6DF7CE90"/>
    <w:rsid w:val="6E05395D"/>
    <w:rsid w:val="6E092A17"/>
    <w:rsid w:val="6E465F85"/>
    <w:rsid w:val="6E62A5FD"/>
    <w:rsid w:val="6E670237"/>
    <w:rsid w:val="6EA960F5"/>
    <w:rsid w:val="6EAF81C5"/>
    <w:rsid w:val="6EB66D2E"/>
    <w:rsid w:val="6EE14C1C"/>
    <w:rsid w:val="6F46D177"/>
    <w:rsid w:val="6F56159F"/>
    <w:rsid w:val="6F9B025A"/>
    <w:rsid w:val="6FA486A8"/>
    <w:rsid w:val="6FE8B8B6"/>
    <w:rsid w:val="6FFD1639"/>
    <w:rsid w:val="70266402"/>
    <w:rsid w:val="703ED290"/>
    <w:rsid w:val="705CC1F0"/>
    <w:rsid w:val="7085AD0A"/>
    <w:rsid w:val="709EED94"/>
    <w:rsid w:val="70B55D8B"/>
    <w:rsid w:val="70E17115"/>
    <w:rsid w:val="71296ABC"/>
    <w:rsid w:val="7178EE19"/>
    <w:rsid w:val="71B4FE8A"/>
    <w:rsid w:val="71EB1B59"/>
    <w:rsid w:val="71EEFBF1"/>
    <w:rsid w:val="721348FB"/>
    <w:rsid w:val="721E0E64"/>
    <w:rsid w:val="7253094C"/>
    <w:rsid w:val="727D24CD"/>
    <w:rsid w:val="72C66D6A"/>
    <w:rsid w:val="72EDE9B7"/>
    <w:rsid w:val="72F228F0"/>
    <w:rsid w:val="72F72EAF"/>
    <w:rsid w:val="732D402C"/>
    <w:rsid w:val="73430411"/>
    <w:rsid w:val="73766AA8"/>
    <w:rsid w:val="73D8EF25"/>
    <w:rsid w:val="73FFBD5B"/>
    <w:rsid w:val="742CB6EF"/>
    <w:rsid w:val="74506CC5"/>
    <w:rsid w:val="745C456A"/>
    <w:rsid w:val="74943CD4"/>
    <w:rsid w:val="74967A69"/>
    <w:rsid w:val="74BCABAA"/>
    <w:rsid w:val="74E2CFA4"/>
    <w:rsid w:val="7508847F"/>
    <w:rsid w:val="752B04D8"/>
    <w:rsid w:val="75532C73"/>
    <w:rsid w:val="75541530"/>
    <w:rsid w:val="75798347"/>
    <w:rsid w:val="75C503A0"/>
    <w:rsid w:val="765A29A3"/>
    <w:rsid w:val="76739449"/>
    <w:rsid w:val="76843851"/>
    <w:rsid w:val="7696BE46"/>
    <w:rsid w:val="77147B1E"/>
    <w:rsid w:val="7736B6AE"/>
    <w:rsid w:val="7744696A"/>
    <w:rsid w:val="775F44D8"/>
    <w:rsid w:val="77723991"/>
    <w:rsid w:val="77A77B99"/>
    <w:rsid w:val="77BFE68D"/>
    <w:rsid w:val="77EC8307"/>
    <w:rsid w:val="781D12B3"/>
    <w:rsid w:val="7822AE7E"/>
    <w:rsid w:val="7841C632"/>
    <w:rsid w:val="784C9CBF"/>
    <w:rsid w:val="78939241"/>
    <w:rsid w:val="791C657D"/>
    <w:rsid w:val="791C7ECC"/>
    <w:rsid w:val="7929FDB5"/>
    <w:rsid w:val="79357610"/>
    <w:rsid w:val="79366E4C"/>
    <w:rsid w:val="7946F57A"/>
    <w:rsid w:val="79480DE4"/>
    <w:rsid w:val="795A5A2F"/>
    <w:rsid w:val="795DC75E"/>
    <w:rsid w:val="79931805"/>
    <w:rsid w:val="79995B6D"/>
    <w:rsid w:val="79D6D1F2"/>
    <w:rsid w:val="79E4823A"/>
    <w:rsid w:val="79F4A749"/>
    <w:rsid w:val="7A2B0D35"/>
    <w:rsid w:val="7A33F237"/>
    <w:rsid w:val="7A7330E9"/>
    <w:rsid w:val="7AACDBD8"/>
    <w:rsid w:val="7AEF92D1"/>
    <w:rsid w:val="7AEFDCAA"/>
    <w:rsid w:val="7AF20744"/>
    <w:rsid w:val="7AFDECA0"/>
    <w:rsid w:val="7B07BE35"/>
    <w:rsid w:val="7B1AD45D"/>
    <w:rsid w:val="7B2799F2"/>
    <w:rsid w:val="7B39EB51"/>
    <w:rsid w:val="7B46DFF5"/>
    <w:rsid w:val="7B4FB53C"/>
    <w:rsid w:val="7B5C48B2"/>
    <w:rsid w:val="7B603E3A"/>
    <w:rsid w:val="7B714CBC"/>
    <w:rsid w:val="7B829E6B"/>
    <w:rsid w:val="7BEAE587"/>
    <w:rsid w:val="7C06B104"/>
    <w:rsid w:val="7C15AF23"/>
    <w:rsid w:val="7C2BA6B1"/>
    <w:rsid w:val="7C72D77E"/>
    <w:rsid w:val="7C781869"/>
    <w:rsid w:val="7C86554E"/>
    <w:rsid w:val="7C8D4E74"/>
    <w:rsid w:val="7C8ED7BE"/>
    <w:rsid w:val="7CB39FE6"/>
    <w:rsid w:val="7CC90B0C"/>
    <w:rsid w:val="7CD52C8F"/>
    <w:rsid w:val="7CE7797E"/>
    <w:rsid w:val="7D1BA6A7"/>
    <w:rsid w:val="7D8C7441"/>
    <w:rsid w:val="7D8C7693"/>
    <w:rsid w:val="7DBE5518"/>
    <w:rsid w:val="7DE691D9"/>
    <w:rsid w:val="7E0865DD"/>
    <w:rsid w:val="7E207AC0"/>
    <w:rsid w:val="7E26780E"/>
    <w:rsid w:val="7E4D1F99"/>
    <w:rsid w:val="7E76B620"/>
    <w:rsid w:val="7E947C7C"/>
    <w:rsid w:val="7EE4DCC1"/>
    <w:rsid w:val="7EFF8DE2"/>
    <w:rsid w:val="7F01C05E"/>
    <w:rsid w:val="7F070FB3"/>
    <w:rsid w:val="7F081E1C"/>
    <w:rsid w:val="7F09D937"/>
    <w:rsid w:val="7F31D4FF"/>
    <w:rsid w:val="7F556B24"/>
    <w:rsid w:val="7F71D701"/>
    <w:rsid w:val="7F8220A9"/>
    <w:rsid w:val="7F939E22"/>
    <w:rsid w:val="7F96186B"/>
    <w:rsid w:val="7FCD1EAD"/>
    <w:rsid w:val="7FDEC765"/>
    <w:rsid w:val="7FF3D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FB6A2"/>
  <w15:chartTrackingRefBased/>
  <w15:docId w15:val="{3D7E0481-BDBF-4569-B2A6-50DB0024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33A"/>
    <w:pPr>
      <w:keepNext/>
      <w:keepLines/>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733A"/>
    <w:pPr>
      <w:keepNext/>
      <w:keepLines/>
      <w:outlineLvl w:val="1"/>
    </w:pPr>
    <w:rPr>
      <w:rFonts w:ascii="Times New Roman" w:eastAsiaTheme="majorEastAsia" w:hAnsi="Times New Roman"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B733A"/>
    <w:pPr>
      <w:keepNext/>
      <w:keepLines/>
      <w:outlineLvl w:val="2"/>
    </w:pPr>
    <w:rPr>
      <w:rFonts w:ascii="Times New Roman" w:eastAsiaTheme="majorEastAsia" w:hAnsi="Times New Roman" w:cstheme="majorBidi"/>
      <w:b/>
      <w:szCs w:val="24"/>
    </w:rPr>
  </w:style>
  <w:style w:type="paragraph" w:styleId="Heading4">
    <w:name w:val="heading 4"/>
    <w:basedOn w:val="Normal"/>
    <w:next w:val="Normal"/>
    <w:uiPriority w:val="9"/>
    <w:unhideWhenUsed/>
    <w:qFormat/>
    <w:rsid w:val="3CA273EB"/>
    <w:pPr>
      <w:keepNext/>
      <w:keepLines/>
      <w:spacing w:before="80" w:after="40"/>
      <w:outlineLvl w:val="3"/>
    </w:pPr>
    <w:rPr>
      <w:rFonts w:eastAsiaTheme="minorEastAsia" w:cstheme="majorEastAsia"/>
      <w:i/>
      <w:iCs/>
      <w:color w:val="2F5496" w:themeColor="accent1" w:themeShade="BF"/>
    </w:rPr>
  </w:style>
  <w:style w:type="paragraph" w:styleId="Heading5">
    <w:name w:val="heading 5"/>
    <w:basedOn w:val="Normal"/>
    <w:next w:val="Normal"/>
    <w:uiPriority w:val="9"/>
    <w:unhideWhenUsed/>
    <w:qFormat/>
    <w:rsid w:val="3CA273EB"/>
    <w:pPr>
      <w:keepNext/>
      <w:keepLines/>
      <w:spacing w:before="80" w:after="40"/>
      <w:outlineLvl w:val="4"/>
    </w:pPr>
    <w:rPr>
      <w:rFonts w:eastAsiaTheme="minorEastAsia" w:cstheme="majorEastAsia"/>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8B733A"/>
    <w:pPr>
      <w:tabs>
        <w:tab w:val="right" w:leader="dot" w:pos="9360"/>
      </w:tabs>
      <w:spacing w:after="100"/>
    </w:pPr>
  </w:style>
  <w:style w:type="character" w:styleId="Hyperlink">
    <w:name w:val="Hyperlink"/>
    <w:basedOn w:val="DefaultParagraphFont"/>
    <w:uiPriority w:val="99"/>
    <w:unhideWhenUsed/>
    <w:rsid w:val="008B733A"/>
    <w:rPr>
      <w:color w:val="0563C1" w:themeColor="hyperlink"/>
      <w:u w:val="single"/>
    </w:rPr>
  </w:style>
  <w:style w:type="character" w:customStyle="1" w:styleId="Heading1Char">
    <w:name w:val="Heading 1 Char"/>
    <w:basedOn w:val="DefaultParagraphFont"/>
    <w:link w:val="Heading1"/>
    <w:uiPriority w:val="9"/>
    <w:rsid w:val="008B733A"/>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rsid w:val="008B733A"/>
    <w:rPr>
      <w:rFonts w:ascii="Times New Roman" w:eastAsiaTheme="majorEastAsia" w:hAnsi="Times New Roman" w:cstheme="majorBidi"/>
      <w:color w:val="2F5496" w:themeColor="accent1" w:themeShade="BF"/>
      <w:sz w:val="26"/>
      <w:szCs w:val="26"/>
    </w:rPr>
  </w:style>
  <w:style w:type="character" w:customStyle="1" w:styleId="Heading3Char">
    <w:name w:val="Heading 3 Char"/>
    <w:basedOn w:val="DefaultParagraphFont"/>
    <w:link w:val="Heading3"/>
    <w:uiPriority w:val="9"/>
    <w:rsid w:val="008B733A"/>
    <w:rPr>
      <w:rFonts w:ascii="Times New Roman" w:eastAsiaTheme="majorEastAsia" w:hAnsi="Times New Roman" w:cstheme="majorBidi"/>
      <w:b/>
      <w:szCs w:val="24"/>
    </w:rPr>
  </w:style>
  <w:style w:type="paragraph" w:styleId="TOCHeading">
    <w:name w:val="TOC Heading"/>
    <w:basedOn w:val="Heading1"/>
    <w:next w:val="Normal"/>
    <w:uiPriority w:val="39"/>
    <w:unhideWhenUsed/>
    <w:qFormat/>
    <w:rsid w:val="00986620"/>
    <w:pPr>
      <w:spacing w:before="240" w:after="0"/>
      <w:outlineLvl w:val="9"/>
    </w:pPr>
    <w:rPr>
      <w:rFonts w:asciiTheme="majorHAnsi" w:hAnsiTheme="majorHAnsi"/>
      <w:kern w:val="0"/>
      <w14:ligatures w14:val="none"/>
    </w:rPr>
  </w:style>
  <w:style w:type="paragraph" w:styleId="TOC1">
    <w:name w:val="toc 1"/>
    <w:basedOn w:val="Normal"/>
    <w:next w:val="Normal"/>
    <w:autoRedefine/>
    <w:uiPriority w:val="39"/>
    <w:unhideWhenUsed/>
    <w:rsid w:val="007B0D7B"/>
    <w:pPr>
      <w:spacing w:after="100"/>
    </w:pPr>
  </w:style>
  <w:style w:type="paragraph" w:styleId="TOC3">
    <w:name w:val="toc 3"/>
    <w:basedOn w:val="Normal"/>
    <w:next w:val="Normal"/>
    <w:autoRedefine/>
    <w:uiPriority w:val="39"/>
    <w:unhideWhenUsed/>
    <w:rsid w:val="00986620"/>
    <w:pPr>
      <w:spacing w:after="100"/>
      <w:ind w:left="440"/>
    </w:pPr>
  </w:style>
  <w:style w:type="paragraph" w:customStyle="1" w:styleId="paragraph">
    <w:name w:val="paragraph"/>
    <w:basedOn w:val="Normal"/>
    <w:rsid w:val="00BC0D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C0D8E"/>
  </w:style>
  <w:style w:type="character" w:customStyle="1" w:styleId="eop">
    <w:name w:val="eop"/>
    <w:basedOn w:val="DefaultParagraphFont"/>
    <w:rsid w:val="00BC0D8E"/>
  </w:style>
  <w:style w:type="paragraph" w:styleId="Header">
    <w:name w:val="header"/>
    <w:basedOn w:val="Normal"/>
    <w:uiPriority w:val="99"/>
    <w:unhideWhenUsed/>
    <w:rsid w:val="3CA273EB"/>
    <w:pPr>
      <w:tabs>
        <w:tab w:val="center" w:pos="4680"/>
        <w:tab w:val="right" w:pos="9360"/>
      </w:tabs>
      <w:spacing w:after="0" w:line="240" w:lineRule="auto"/>
    </w:pPr>
  </w:style>
  <w:style w:type="paragraph" w:styleId="Footer">
    <w:name w:val="footer"/>
    <w:basedOn w:val="Normal"/>
    <w:link w:val="FooterChar"/>
    <w:uiPriority w:val="99"/>
    <w:unhideWhenUsed/>
    <w:rsid w:val="3CA273EB"/>
    <w:pPr>
      <w:tabs>
        <w:tab w:val="center" w:pos="4680"/>
        <w:tab w:val="right" w:pos="9360"/>
      </w:tabs>
      <w:spacing w:after="0" w:line="240" w:lineRule="auto"/>
    </w:pPr>
  </w:style>
  <w:style w:type="paragraph" w:styleId="ListParagraph">
    <w:name w:val="List Paragraph"/>
    <w:basedOn w:val="Normal"/>
    <w:uiPriority w:val="34"/>
    <w:qFormat/>
    <w:rsid w:val="3CA273EB"/>
    <w:pPr>
      <w:ind w:left="720"/>
      <w:contextualSpacing/>
    </w:pPr>
  </w:style>
  <w:style w:type="character" w:styleId="Strong">
    <w:name w:val="Strong"/>
    <w:basedOn w:val="DefaultParagraphFont"/>
    <w:uiPriority w:val="22"/>
    <w:qFormat/>
    <w:rsid w:val="3CA273EB"/>
    <w:rPr>
      <w:b/>
      <w:bCs/>
    </w:r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unhideWhenUsed/>
    <w:rsid w:val="00CD4167"/>
    <w:pPr>
      <w:spacing w:line="240" w:lineRule="auto"/>
    </w:pPr>
    <w:rPr>
      <w:sz w:val="20"/>
      <w:szCs w:val="20"/>
    </w:rPr>
  </w:style>
  <w:style w:type="character" w:customStyle="1" w:styleId="CommentTextChar">
    <w:name w:val="Comment Text Char"/>
    <w:basedOn w:val="DefaultParagraphFont"/>
    <w:link w:val="CommentText"/>
    <w:uiPriority w:val="99"/>
    <w:rsid w:val="00CD4167"/>
    <w:rPr>
      <w:sz w:val="20"/>
      <w:szCs w:val="20"/>
    </w:rPr>
  </w:style>
  <w:style w:type="character" w:styleId="CommentReference">
    <w:name w:val="annotation reference"/>
    <w:basedOn w:val="DefaultParagraphFont"/>
    <w:uiPriority w:val="99"/>
    <w:semiHidden/>
    <w:unhideWhenUsed/>
    <w:rsid w:val="00CD4167"/>
    <w:rPr>
      <w:sz w:val="16"/>
      <w:szCs w:val="16"/>
    </w:rPr>
  </w:style>
  <w:style w:type="character" w:customStyle="1" w:styleId="FooterChar">
    <w:name w:val="Footer Char"/>
    <w:basedOn w:val="DefaultParagraphFont"/>
    <w:link w:val="Footer"/>
    <w:uiPriority w:val="99"/>
    <w:rsid w:val="00E8669F"/>
  </w:style>
  <w:style w:type="paragraph" w:styleId="TOC4">
    <w:name w:val="toc 4"/>
    <w:basedOn w:val="Normal"/>
    <w:next w:val="Normal"/>
    <w:autoRedefine/>
    <w:uiPriority w:val="39"/>
    <w:unhideWhenUsed/>
    <w:rsid w:val="006F2C01"/>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6F2C01"/>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6F2C01"/>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6F2C01"/>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6F2C01"/>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6F2C01"/>
    <w:pPr>
      <w:spacing w:after="100" w:line="278" w:lineRule="auto"/>
      <w:ind w:left="1920"/>
    </w:pPr>
    <w:rPr>
      <w:rFonts w:eastAsiaTheme="minorEastAsia"/>
      <w:sz w:val="24"/>
      <w:szCs w:val="24"/>
    </w:rPr>
  </w:style>
  <w:style w:type="character" w:styleId="UnresolvedMention">
    <w:name w:val="Unresolved Mention"/>
    <w:basedOn w:val="DefaultParagraphFont"/>
    <w:uiPriority w:val="99"/>
    <w:semiHidden/>
    <w:unhideWhenUsed/>
    <w:rsid w:val="006F2C01"/>
    <w:rPr>
      <w:color w:val="605E5C"/>
      <w:shd w:val="clear" w:color="auto" w:fill="E1DFDD"/>
    </w:rPr>
  </w:style>
  <w:style w:type="paragraph" w:styleId="NormalWeb">
    <w:name w:val="Normal (Web)"/>
    <w:basedOn w:val="Normal"/>
    <w:uiPriority w:val="99"/>
    <w:semiHidden/>
    <w:unhideWhenUsed/>
    <w:rsid w:val="00373A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127934"/>
    <w:rPr>
      <w:b/>
      <w:bCs/>
    </w:rPr>
  </w:style>
  <w:style w:type="character" w:customStyle="1" w:styleId="CommentSubjectChar">
    <w:name w:val="Comment Subject Char"/>
    <w:basedOn w:val="CommentTextChar"/>
    <w:link w:val="CommentSubject"/>
    <w:uiPriority w:val="99"/>
    <w:semiHidden/>
    <w:rsid w:val="00127934"/>
    <w:rPr>
      <w:b/>
      <w:bCs/>
      <w:sz w:val="20"/>
      <w:szCs w:val="20"/>
    </w:rPr>
  </w:style>
  <w:style w:type="paragraph" w:styleId="Revision">
    <w:name w:val="Revision"/>
    <w:hidden/>
    <w:uiPriority w:val="99"/>
    <w:semiHidden/>
    <w:rsid w:val="001279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507462">
      <w:bodyDiv w:val="1"/>
      <w:marLeft w:val="0"/>
      <w:marRight w:val="0"/>
      <w:marTop w:val="0"/>
      <w:marBottom w:val="0"/>
      <w:divBdr>
        <w:top w:val="none" w:sz="0" w:space="0" w:color="auto"/>
        <w:left w:val="none" w:sz="0" w:space="0" w:color="auto"/>
        <w:bottom w:val="none" w:sz="0" w:space="0" w:color="auto"/>
        <w:right w:val="none" w:sz="0" w:space="0" w:color="auto"/>
      </w:divBdr>
      <w:divsChild>
        <w:div w:id="39526122">
          <w:marLeft w:val="0"/>
          <w:marRight w:val="0"/>
          <w:marTop w:val="0"/>
          <w:marBottom w:val="0"/>
          <w:divBdr>
            <w:top w:val="none" w:sz="0" w:space="0" w:color="auto"/>
            <w:left w:val="none" w:sz="0" w:space="0" w:color="auto"/>
            <w:bottom w:val="none" w:sz="0" w:space="0" w:color="auto"/>
            <w:right w:val="none" w:sz="0" w:space="0" w:color="auto"/>
          </w:divBdr>
        </w:div>
        <w:div w:id="87122875">
          <w:marLeft w:val="0"/>
          <w:marRight w:val="0"/>
          <w:marTop w:val="0"/>
          <w:marBottom w:val="0"/>
          <w:divBdr>
            <w:top w:val="none" w:sz="0" w:space="0" w:color="auto"/>
            <w:left w:val="none" w:sz="0" w:space="0" w:color="auto"/>
            <w:bottom w:val="none" w:sz="0" w:space="0" w:color="auto"/>
            <w:right w:val="none" w:sz="0" w:space="0" w:color="auto"/>
          </w:divBdr>
        </w:div>
        <w:div w:id="196936908">
          <w:marLeft w:val="0"/>
          <w:marRight w:val="0"/>
          <w:marTop w:val="0"/>
          <w:marBottom w:val="0"/>
          <w:divBdr>
            <w:top w:val="none" w:sz="0" w:space="0" w:color="auto"/>
            <w:left w:val="none" w:sz="0" w:space="0" w:color="auto"/>
            <w:bottom w:val="none" w:sz="0" w:space="0" w:color="auto"/>
            <w:right w:val="none" w:sz="0" w:space="0" w:color="auto"/>
          </w:divBdr>
        </w:div>
        <w:div w:id="425924872">
          <w:marLeft w:val="0"/>
          <w:marRight w:val="0"/>
          <w:marTop w:val="0"/>
          <w:marBottom w:val="0"/>
          <w:divBdr>
            <w:top w:val="none" w:sz="0" w:space="0" w:color="auto"/>
            <w:left w:val="none" w:sz="0" w:space="0" w:color="auto"/>
            <w:bottom w:val="none" w:sz="0" w:space="0" w:color="auto"/>
            <w:right w:val="none" w:sz="0" w:space="0" w:color="auto"/>
          </w:divBdr>
        </w:div>
        <w:div w:id="579025490">
          <w:marLeft w:val="0"/>
          <w:marRight w:val="0"/>
          <w:marTop w:val="0"/>
          <w:marBottom w:val="0"/>
          <w:divBdr>
            <w:top w:val="none" w:sz="0" w:space="0" w:color="auto"/>
            <w:left w:val="none" w:sz="0" w:space="0" w:color="auto"/>
            <w:bottom w:val="none" w:sz="0" w:space="0" w:color="auto"/>
            <w:right w:val="none" w:sz="0" w:space="0" w:color="auto"/>
          </w:divBdr>
        </w:div>
        <w:div w:id="660932439">
          <w:marLeft w:val="0"/>
          <w:marRight w:val="0"/>
          <w:marTop w:val="0"/>
          <w:marBottom w:val="0"/>
          <w:divBdr>
            <w:top w:val="none" w:sz="0" w:space="0" w:color="auto"/>
            <w:left w:val="none" w:sz="0" w:space="0" w:color="auto"/>
            <w:bottom w:val="none" w:sz="0" w:space="0" w:color="auto"/>
            <w:right w:val="none" w:sz="0" w:space="0" w:color="auto"/>
          </w:divBdr>
        </w:div>
        <w:div w:id="748120742">
          <w:marLeft w:val="0"/>
          <w:marRight w:val="0"/>
          <w:marTop w:val="0"/>
          <w:marBottom w:val="0"/>
          <w:divBdr>
            <w:top w:val="none" w:sz="0" w:space="0" w:color="auto"/>
            <w:left w:val="none" w:sz="0" w:space="0" w:color="auto"/>
            <w:bottom w:val="none" w:sz="0" w:space="0" w:color="auto"/>
            <w:right w:val="none" w:sz="0" w:space="0" w:color="auto"/>
          </w:divBdr>
        </w:div>
        <w:div w:id="761296964">
          <w:marLeft w:val="0"/>
          <w:marRight w:val="0"/>
          <w:marTop w:val="0"/>
          <w:marBottom w:val="0"/>
          <w:divBdr>
            <w:top w:val="none" w:sz="0" w:space="0" w:color="auto"/>
            <w:left w:val="none" w:sz="0" w:space="0" w:color="auto"/>
            <w:bottom w:val="none" w:sz="0" w:space="0" w:color="auto"/>
            <w:right w:val="none" w:sz="0" w:space="0" w:color="auto"/>
          </w:divBdr>
        </w:div>
        <w:div w:id="857349224">
          <w:marLeft w:val="0"/>
          <w:marRight w:val="0"/>
          <w:marTop w:val="0"/>
          <w:marBottom w:val="0"/>
          <w:divBdr>
            <w:top w:val="none" w:sz="0" w:space="0" w:color="auto"/>
            <w:left w:val="none" w:sz="0" w:space="0" w:color="auto"/>
            <w:bottom w:val="none" w:sz="0" w:space="0" w:color="auto"/>
            <w:right w:val="none" w:sz="0" w:space="0" w:color="auto"/>
          </w:divBdr>
        </w:div>
        <w:div w:id="897395838">
          <w:marLeft w:val="0"/>
          <w:marRight w:val="0"/>
          <w:marTop w:val="0"/>
          <w:marBottom w:val="0"/>
          <w:divBdr>
            <w:top w:val="none" w:sz="0" w:space="0" w:color="auto"/>
            <w:left w:val="none" w:sz="0" w:space="0" w:color="auto"/>
            <w:bottom w:val="none" w:sz="0" w:space="0" w:color="auto"/>
            <w:right w:val="none" w:sz="0" w:space="0" w:color="auto"/>
          </w:divBdr>
        </w:div>
        <w:div w:id="1069427240">
          <w:marLeft w:val="0"/>
          <w:marRight w:val="0"/>
          <w:marTop w:val="0"/>
          <w:marBottom w:val="0"/>
          <w:divBdr>
            <w:top w:val="none" w:sz="0" w:space="0" w:color="auto"/>
            <w:left w:val="none" w:sz="0" w:space="0" w:color="auto"/>
            <w:bottom w:val="none" w:sz="0" w:space="0" w:color="auto"/>
            <w:right w:val="none" w:sz="0" w:space="0" w:color="auto"/>
          </w:divBdr>
        </w:div>
        <w:div w:id="1112166724">
          <w:marLeft w:val="0"/>
          <w:marRight w:val="0"/>
          <w:marTop w:val="0"/>
          <w:marBottom w:val="0"/>
          <w:divBdr>
            <w:top w:val="none" w:sz="0" w:space="0" w:color="auto"/>
            <w:left w:val="none" w:sz="0" w:space="0" w:color="auto"/>
            <w:bottom w:val="none" w:sz="0" w:space="0" w:color="auto"/>
            <w:right w:val="none" w:sz="0" w:space="0" w:color="auto"/>
          </w:divBdr>
        </w:div>
        <w:div w:id="1160190499">
          <w:marLeft w:val="0"/>
          <w:marRight w:val="0"/>
          <w:marTop w:val="0"/>
          <w:marBottom w:val="0"/>
          <w:divBdr>
            <w:top w:val="none" w:sz="0" w:space="0" w:color="auto"/>
            <w:left w:val="none" w:sz="0" w:space="0" w:color="auto"/>
            <w:bottom w:val="none" w:sz="0" w:space="0" w:color="auto"/>
            <w:right w:val="none" w:sz="0" w:space="0" w:color="auto"/>
          </w:divBdr>
        </w:div>
        <w:div w:id="1195537273">
          <w:marLeft w:val="0"/>
          <w:marRight w:val="0"/>
          <w:marTop w:val="0"/>
          <w:marBottom w:val="0"/>
          <w:divBdr>
            <w:top w:val="none" w:sz="0" w:space="0" w:color="auto"/>
            <w:left w:val="none" w:sz="0" w:space="0" w:color="auto"/>
            <w:bottom w:val="none" w:sz="0" w:space="0" w:color="auto"/>
            <w:right w:val="none" w:sz="0" w:space="0" w:color="auto"/>
          </w:divBdr>
        </w:div>
        <w:div w:id="1215700997">
          <w:marLeft w:val="0"/>
          <w:marRight w:val="0"/>
          <w:marTop w:val="0"/>
          <w:marBottom w:val="0"/>
          <w:divBdr>
            <w:top w:val="none" w:sz="0" w:space="0" w:color="auto"/>
            <w:left w:val="none" w:sz="0" w:space="0" w:color="auto"/>
            <w:bottom w:val="none" w:sz="0" w:space="0" w:color="auto"/>
            <w:right w:val="none" w:sz="0" w:space="0" w:color="auto"/>
          </w:divBdr>
        </w:div>
        <w:div w:id="1220482428">
          <w:marLeft w:val="0"/>
          <w:marRight w:val="0"/>
          <w:marTop w:val="0"/>
          <w:marBottom w:val="0"/>
          <w:divBdr>
            <w:top w:val="none" w:sz="0" w:space="0" w:color="auto"/>
            <w:left w:val="none" w:sz="0" w:space="0" w:color="auto"/>
            <w:bottom w:val="none" w:sz="0" w:space="0" w:color="auto"/>
            <w:right w:val="none" w:sz="0" w:space="0" w:color="auto"/>
          </w:divBdr>
        </w:div>
        <w:div w:id="1340039848">
          <w:marLeft w:val="0"/>
          <w:marRight w:val="0"/>
          <w:marTop w:val="0"/>
          <w:marBottom w:val="0"/>
          <w:divBdr>
            <w:top w:val="none" w:sz="0" w:space="0" w:color="auto"/>
            <w:left w:val="none" w:sz="0" w:space="0" w:color="auto"/>
            <w:bottom w:val="none" w:sz="0" w:space="0" w:color="auto"/>
            <w:right w:val="none" w:sz="0" w:space="0" w:color="auto"/>
          </w:divBdr>
        </w:div>
        <w:div w:id="1433815866">
          <w:marLeft w:val="0"/>
          <w:marRight w:val="0"/>
          <w:marTop w:val="0"/>
          <w:marBottom w:val="0"/>
          <w:divBdr>
            <w:top w:val="none" w:sz="0" w:space="0" w:color="auto"/>
            <w:left w:val="none" w:sz="0" w:space="0" w:color="auto"/>
            <w:bottom w:val="none" w:sz="0" w:space="0" w:color="auto"/>
            <w:right w:val="none" w:sz="0" w:space="0" w:color="auto"/>
          </w:divBdr>
        </w:div>
        <w:div w:id="1631746669">
          <w:marLeft w:val="0"/>
          <w:marRight w:val="0"/>
          <w:marTop w:val="0"/>
          <w:marBottom w:val="0"/>
          <w:divBdr>
            <w:top w:val="none" w:sz="0" w:space="0" w:color="auto"/>
            <w:left w:val="none" w:sz="0" w:space="0" w:color="auto"/>
            <w:bottom w:val="none" w:sz="0" w:space="0" w:color="auto"/>
            <w:right w:val="none" w:sz="0" w:space="0" w:color="auto"/>
          </w:divBdr>
        </w:div>
        <w:div w:id="1646739006">
          <w:marLeft w:val="0"/>
          <w:marRight w:val="0"/>
          <w:marTop w:val="0"/>
          <w:marBottom w:val="0"/>
          <w:divBdr>
            <w:top w:val="none" w:sz="0" w:space="0" w:color="auto"/>
            <w:left w:val="none" w:sz="0" w:space="0" w:color="auto"/>
            <w:bottom w:val="none" w:sz="0" w:space="0" w:color="auto"/>
            <w:right w:val="none" w:sz="0" w:space="0" w:color="auto"/>
          </w:divBdr>
        </w:div>
        <w:div w:id="1652060754">
          <w:marLeft w:val="0"/>
          <w:marRight w:val="0"/>
          <w:marTop w:val="0"/>
          <w:marBottom w:val="0"/>
          <w:divBdr>
            <w:top w:val="none" w:sz="0" w:space="0" w:color="auto"/>
            <w:left w:val="none" w:sz="0" w:space="0" w:color="auto"/>
            <w:bottom w:val="none" w:sz="0" w:space="0" w:color="auto"/>
            <w:right w:val="none" w:sz="0" w:space="0" w:color="auto"/>
          </w:divBdr>
        </w:div>
        <w:div w:id="1710913806">
          <w:marLeft w:val="0"/>
          <w:marRight w:val="0"/>
          <w:marTop w:val="0"/>
          <w:marBottom w:val="0"/>
          <w:divBdr>
            <w:top w:val="none" w:sz="0" w:space="0" w:color="auto"/>
            <w:left w:val="none" w:sz="0" w:space="0" w:color="auto"/>
            <w:bottom w:val="none" w:sz="0" w:space="0" w:color="auto"/>
            <w:right w:val="none" w:sz="0" w:space="0" w:color="auto"/>
          </w:divBdr>
        </w:div>
        <w:div w:id="1734086886">
          <w:marLeft w:val="0"/>
          <w:marRight w:val="0"/>
          <w:marTop w:val="0"/>
          <w:marBottom w:val="0"/>
          <w:divBdr>
            <w:top w:val="none" w:sz="0" w:space="0" w:color="auto"/>
            <w:left w:val="none" w:sz="0" w:space="0" w:color="auto"/>
            <w:bottom w:val="none" w:sz="0" w:space="0" w:color="auto"/>
            <w:right w:val="none" w:sz="0" w:space="0" w:color="auto"/>
          </w:divBdr>
        </w:div>
        <w:div w:id="1786729750">
          <w:marLeft w:val="0"/>
          <w:marRight w:val="0"/>
          <w:marTop w:val="0"/>
          <w:marBottom w:val="0"/>
          <w:divBdr>
            <w:top w:val="none" w:sz="0" w:space="0" w:color="auto"/>
            <w:left w:val="none" w:sz="0" w:space="0" w:color="auto"/>
            <w:bottom w:val="none" w:sz="0" w:space="0" w:color="auto"/>
            <w:right w:val="none" w:sz="0" w:space="0" w:color="auto"/>
          </w:divBdr>
        </w:div>
        <w:div w:id="1888031312">
          <w:marLeft w:val="0"/>
          <w:marRight w:val="0"/>
          <w:marTop w:val="0"/>
          <w:marBottom w:val="0"/>
          <w:divBdr>
            <w:top w:val="none" w:sz="0" w:space="0" w:color="auto"/>
            <w:left w:val="none" w:sz="0" w:space="0" w:color="auto"/>
            <w:bottom w:val="none" w:sz="0" w:space="0" w:color="auto"/>
            <w:right w:val="none" w:sz="0" w:space="0" w:color="auto"/>
          </w:divBdr>
        </w:div>
        <w:div w:id="1904219166">
          <w:marLeft w:val="0"/>
          <w:marRight w:val="0"/>
          <w:marTop w:val="0"/>
          <w:marBottom w:val="0"/>
          <w:divBdr>
            <w:top w:val="none" w:sz="0" w:space="0" w:color="auto"/>
            <w:left w:val="none" w:sz="0" w:space="0" w:color="auto"/>
            <w:bottom w:val="none" w:sz="0" w:space="0" w:color="auto"/>
            <w:right w:val="none" w:sz="0" w:space="0" w:color="auto"/>
          </w:divBdr>
        </w:div>
      </w:divsChild>
    </w:div>
    <w:div w:id="1540052297">
      <w:bodyDiv w:val="1"/>
      <w:marLeft w:val="0"/>
      <w:marRight w:val="0"/>
      <w:marTop w:val="0"/>
      <w:marBottom w:val="0"/>
      <w:divBdr>
        <w:top w:val="none" w:sz="0" w:space="0" w:color="auto"/>
        <w:left w:val="none" w:sz="0" w:space="0" w:color="auto"/>
        <w:bottom w:val="none" w:sz="0" w:space="0" w:color="auto"/>
        <w:right w:val="none" w:sz="0" w:space="0" w:color="auto"/>
      </w:divBdr>
      <w:divsChild>
        <w:div w:id="71585905">
          <w:marLeft w:val="0"/>
          <w:marRight w:val="0"/>
          <w:marTop w:val="0"/>
          <w:marBottom w:val="0"/>
          <w:divBdr>
            <w:top w:val="none" w:sz="0" w:space="0" w:color="auto"/>
            <w:left w:val="none" w:sz="0" w:space="0" w:color="auto"/>
            <w:bottom w:val="none" w:sz="0" w:space="0" w:color="auto"/>
            <w:right w:val="none" w:sz="0" w:space="0" w:color="auto"/>
          </w:divBdr>
        </w:div>
        <w:div w:id="105317188">
          <w:marLeft w:val="0"/>
          <w:marRight w:val="0"/>
          <w:marTop w:val="0"/>
          <w:marBottom w:val="0"/>
          <w:divBdr>
            <w:top w:val="none" w:sz="0" w:space="0" w:color="auto"/>
            <w:left w:val="none" w:sz="0" w:space="0" w:color="auto"/>
            <w:bottom w:val="none" w:sz="0" w:space="0" w:color="auto"/>
            <w:right w:val="none" w:sz="0" w:space="0" w:color="auto"/>
          </w:divBdr>
        </w:div>
        <w:div w:id="235171615">
          <w:marLeft w:val="0"/>
          <w:marRight w:val="0"/>
          <w:marTop w:val="0"/>
          <w:marBottom w:val="0"/>
          <w:divBdr>
            <w:top w:val="none" w:sz="0" w:space="0" w:color="auto"/>
            <w:left w:val="none" w:sz="0" w:space="0" w:color="auto"/>
            <w:bottom w:val="none" w:sz="0" w:space="0" w:color="auto"/>
            <w:right w:val="none" w:sz="0" w:space="0" w:color="auto"/>
          </w:divBdr>
        </w:div>
        <w:div w:id="368997158">
          <w:marLeft w:val="0"/>
          <w:marRight w:val="0"/>
          <w:marTop w:val="0"/>
          <w:marBottom w:val="0"/>
          <w:divBdr>
            <w:top w:val="none" w:sz="0" w:space="0" w:color="auto"/>
            <w:left w:val="none" w:sz="0" w:space="0" w:color="auto"/>
            <w:bottom w:val="none" w:sz="0" w:space="0" w:color="auto"/>
            <w:right w:val="none" w:sz="0" w:space="0" w:color="auto"/>
          </w:divBdr>
        </w:div>
        <w:div w:id="402607630">
          <w:marLeft w:val="0"/>
          <w:marRight w:val="0"/>
          <w:marTop w:val="0"/>
          <w:marBottom w:val="0"/>
          <w:divBdr>
            <w:top w:val="none" w:sz="0" w:space="0" w:color="auto"/>
            <w:left w:val="none" w:sz="0" w:space="0" w:color="auto"/>
            <w:bottom w:val="none" w:sz="0" w:space="0" w:color="auto"/>
            <w:right w:val="none" w:sz="0" w:space="0" w:color="auto"/>
          </w:divBdr>
        </w:div>
        <w:div w:id="474294626">
          <w:marLeft w:val="0"/>
          <w:marRight w:val="0"/>
          <w:marTop w:val="0"/>
          <w:marBottom w:val="0"/>
          <w:divBdr>
            <w:top w:val="none" w:sz="0" w:space="0" w:color="auto"/>
            <w:left w:val="none" w:sz="0" w:space="0" w:color="auto"/>
            <w:bottom w:val="none" w:sz="0" w:space="0" w:color="auto"/>
            <w:right w:val="none" w:sz="0" w:space="0" w:color="auto"/>
          </w:divBdr>
        </w:div>
        <w:div w:id="548028170">
          <w:marLeft w:val="0"/>
          <w:marRight w:val="0"/>
          <w:marTop w:val="0"/>
          <w:marBottom w:val="0"/>
          <w:divBdr>
            <w:top w:val="none" w:sz="0" w:space="0" w:color="auto"/>
            <w:left w:val="none" w:sz="0" w:space="0" w:color="auto"/>
            <w:bottom w:val="none" w:sz="0" w:space="0" w:color="auto"/>
            <w:right w:val="none" w:sz="0" w:space="0" w:color="auto"/>
          </w:divBdr>
        </w:div>
        <w:div w:id="608466741">
          <w:marLeft w:val="0"/>
          <w:marRight w:val="0"/>
          <w:marTop w:val="0"/>
          <w:marBottom w:val="0"/>
          <w:divBdr>
            <w:top w:val="none" w:sz="0" w:space="0" w:color="auto"/>
            <w:left w:val="none" w:sz="0" w:space="0" w:color="auto"/>
            <w:bottom w:val="none" w:sz="0" w:space="0" w:color="auto"/>
            <w:right w:val="none" w:sz="0" w:space="0" w:color="auto"/>
          </w:divBdr>
        </w:div>
        <w:div w:id="628436383">
          <w:marLeft w:val="0"/>
          <w:marRight w:val="0"/>
          <w:marTop w:val="0"/>
          <w:marBottom w:val="0"/>
          <w:divBdr>
            <w:top w:val="none" w:sz="0" w:space="0" w:color="auto"/>
            <w:left w:val="none" w:sz="0" w:space="0" w:color="auto"/>
            <w:bottom w:val="none" w:sz="0" w:space="0" w:color="auto"/>
            <w:right w:val="none" w:sz="0" w:space="0" w:color="auto"/>
          </w:divBdr>
        </w:div>
        <w:div w:id="903638052">
          <w:marLeft w:val="0"/>
          <w:marRight w:val="0"/>
          <w:marTop w:val="0"/>
          <w:marBottom w:val="0"/>
          <w:divBdr>
            <w:top w:val="none" w:sz="0" w:space="0" w:color="auto"/>
            <w:left w:val="none" w:sz="0" w:space="0" w:color="auto"/>
            <w:bottom w:val="none" w:sz="0" w:space="0" w:color="auto"/>
            <w:right w:val="none" w:sz="0" w:space="0" w:color="auto"/>
          </w:divBdr>
        </w:div>
        <w:div w:id="978652872">
          <w:marLeft w:val="0"/>
          <w:marRight w:val="0"/>
          <w:marTop w:val="0"/>
          <w:marBottom w:val="0"/>
          <w:divBdr>
            <w:top w:val="none" w:sz="0" w:space="0" w:color="auto"/>
            <w:left w:val="none" w:sz="0" w:space="0" w:color="auto"/>
            <w:bottom w:val="none" w:sz="0" w:space="0" w:color="auto"/>
            <w:right w:val="none" w:sz="0" w:space="0" w:color="auto"/>
          </w:divBdr>
        </w:div>
        <w:div w:id="1080102308">
          <w:marLeft w:val="0"/>
          <w:marRight w:val="0"/>
          <w:marTop w:val="0"/>
          <w:marBottom w:val="0"/>
          <w:divBdr>
            <w:top w:val="none" w:sz="0" w:space="0" w:color="auto"/>
            <w:left w:val="none" w:sz="0" w:space="0" w:color="auto"/>
            <w:bottom w:val="none" w:sz="0" w:space="0" w:color="auto"/>
            <w:right w:val="none" w:sz="0" w:space="0" w:color="auto"/>
          </w:divBdr>
        </w:div>
        <w:div w:id="1090926821">
          <w:marLeft w:val="0"/>
          <w:marRight w:val="0"/>
          <w:marTop w:val="0"/>
          <w:marBottom w:val="0"/>
          <w:divBdr>
            <w:top w:val="none" w:sz="0" w:space="0" w:color="auto"/>
            <w:left w:val="none" w:sz="0" w:space="0" w:color="auto"/>
            <w:bottom w:val="none" w:sz="0" w:space="0" w:color="auto"/>
            <w:right w:val="none" w:sz="0" w:space="0" w:color="auto"/>
          </w:divBdr>
        </w:div>
        <w:div w:id="1188713704">
          <w:marLeft w:val="0"/>
          <w:marRight w:val="0"/>
          <w:marTop w:val="0"/>
          <w:marBottom w:val="0"/>
          <w:divBdr>
            <w:top w:val="none" w:sz="0" w:space="0" w:color="auto"/>
            <w:left w:val="none" w:sz="0" w:space="0" w:color="auto"/>
            <w:bottom w:val="none" w:sz="0" w:space="0" w:color="auto"/>
            <w:right w:val="none" w:sz="0" w:space="0" w:color="auto"/>
          </w:divBdr>
        </w:div>
        <w:div w:id="1274441014">
          <w:marLeft w:val="0"/>
          <w:marRight w:val="0"/>
          <w:marTop w:val="0"/>
          <w:marBottom w:val="0"/>
          <w:divBdr>
            <w:top w:val="none" w:sz="0" w:space="0" w:color="auto"/>
            <w:left w:val="none" w:sz="0" w:space="0" w:color="auto"/>
            <w:bottom w:val="none" w:sz="0" w:space="0" w:color="auto"/>
            <w:right w:val="none" w:sz="0" w:space="0" w:color="auto"/>
          </w:divBdr>
        </w:div>
        <w:div w:id="1321883950">
          <w:marLeft w:val="0"/>
          <w:marRight w:val="0"/>
          <w:marTop w:val="0"/>
          <w:marBottom w:val="0"/>
          <w:divBdr>
            <w:top w:val="none" w:sz="0" w:space="0" w:color="auto"/>
            <w:left w:val="none" w:sz="0" w:space="0" w:color="auto"/>
            <w:bottom w:val="none" w:sz="0" w:space="0" w:color="auto"/>
            <w:right w:val="none" w:sz="0" w:space="0" w:color="auto"/>
          </w:divBdr>
        </w:div>
        <w:div w:id="1363244052">
          <w:marLeft w:val="0"/>
          <w:marRight w:val="0"/>
          <w:marTop w:val="0"/>
          <w:marBottom w:val="0"/>
          <w:divBdr>
            <w:top w:val="none" w:sz="0" w:space="0" w:color="auto"/>
            <w:left w:val="none" w:sz="0" w:space="0" w:color="auto"/>
            <w:bottom w:val="none" w:sz="0" w:space="0" w:color="auto"/>
            <w:right w:val="none" w:sz="0" w:space="0" w:color="auto"/>
          </w:divBdr>
        </w:div>
        <w:div w:id="1382248878">
          <w:marLeft w:val="0"/>
          <w:marRight w:val="0"/>
          <w:marTop w:val="0"/>
          <w:marBottom w:val="0"/>
          <w:divBdr>
            <w:top w:val="none" w:sz="0" w:space="0" w:color="auto"/>
            <w:left w:val="none" w:sz="0" w:space="0" w:color="auto"/>
            <w:bottom w:val="none" w:sz="0" w:space="0" w:color="auto"/>
            <w:right w:val="none" w:sz="0" w:space="0" w:color="auto"/>
          </w:divBdr>
        </w:div>
        <w:div w:id="1503929009">
          <w:marLeft w:val="0"/>
          <w:marRight w:val="0"/>
          <w:marTop w:val="0"/>
          <w:marBottom w:val="0"/>
          <w:divBdr>
            <w:top w:val="none" w:sz="0" w:space="0" w:color="auto"/>
            <w:left w:val="none" w:sz="0" w:space="0" w:color="auto"/>
            <w:bottom w:val="none" w:sz="0" w:space="0" w:color="auto"/>
            <w:right w:val="none" w:sz="0" w:space="0" w:color="auto"/>
          </w:divBdr>
        </w:div>
        <w:div w:id="1534031351">
          <w:marLeft w:val="0"/>
          <w:marRight w:val="0"/>
          <w:marTop w:val="0"/>
          <w:marBottom w:val="0"/>
          <w:divBdr>
            <w:top w:val="none" w:sz="0" w:space="0" w:color="auto"/>
            <w:left w:val="none" w:sz="0" w:space="0" w:color="auto"/>
            <w:bottom w:val="none" w:sz="0" w:space="0" w:color="auto"/>
            <w:right w:val="none" w:sz="0" w:space="0" w:color="auto"/>
          </w:divBdr>
        </w:div>
        <w:div w:id="1545798631">
          <w:marLeft w:val="0"/>
          <w:marRight w:val="0"/>
          <w:marTop w:val="0"/>
          <w:marBottom w:val="0"/>
          <w:divBdr>
            <w:top w:val="none" w:sz="0" w:space="0" w:color="auto"/>
            <w:left w:val="none" w:sz="0" w:space="0" w:color="auto"/>
            <w:bottom w:val="none" w:sz="0" w:space="0" w:color="auto"/>
            <w:right w:val="none" w:sz="0" w:space="0" w:color="auto"/>
          </w:divBdr>
        </w:div>
        <w:div w:id="1577782340">
          <w:marLeft w:val="0"/>
          <w:marRight w:val="0"/>
          <w:marTop w:val="0"/>
          <w:marBottom w:val="0"/>
          <w:divBdr>
            <w:top w:val="none" w:sz="0" w:space="0" w:color="auto"/>
            <w:left w:val="none" w:sz="0" w:space="0" w:color="auto"/>
            <w:bottom w:val="none" w:sz="0" w:space="0" w:color="auto"/>
            <w:right w:val="none" w:sz="0" w:space="0" w:color="auto"/>
          </w:divBdr>
        </w:div>
        <w:div w:id="1613899444">
          <w:marLeft w:val="0"/>
          <w:marRight w:val="0"/>
          <w:marTop w:val="0"/>
          <w:marBottom w:val="0"/>
          <w:divBdr>
            <w:top w:val="none" w:sz="0" w:space="0" w:color="auto"/>
            <w:left w:val="none" w:sz="0" w:space="0" w:color="auto"/>
            <w:bottom w:val="none" w:sz="0" w:space="0" w:color="auto"/>
            <w:right w:val="none" w:sz="0" w:space="0" w:color="auto"/>
          </w:divBdr>
        </w:div>
        <w:div w:id="1788500192">
          <w:marLeft w:val="0"/>
          <w:marRight w:val="0"/>
          <w:marTop w:val="0"/>
          <w:marBottom w:val="0"/>
          <w:divBdr>
            <w:top w:val="none" w:sz="0" w:space="0" w:color="auto"/>
            <w:left w:val="none" w:sz="0" w:space="0" w:color="auto"/>
            <w:bottom w:val="none" w:sz="0" w:space="0" w:color="auto"/>
            <w:right w:val="none" w:sz="0" w:space="0" w:color="auto"/>
          </w:divBdr>
        </w:div>
        <w:div w:id="1803958019">
          <w:marLeft w:val="0"/>
          <w:marRight w:val="0"/>
          <w:marTop w:val="0"/>
          <w:marBottom w:val="0"/>
          <w:divBdr>
            <w:top w:val="none" w:sz="0" w:space="0" w:color="auto"/>
            <w:left w:val="none" w:sz="0" w:space="0" w:color="auto"/>
            <w:bottom w:val="none" w:sz="0" w:space="0" w:color="auto"/>
            <w:right w:val="none" w:sz="0" w:space="0" w:color="auto"/>
          </w:divBdr>
        </w:div>
        <w:div w:id="2000618378">
          <w:marLeft w:val="0"/>
          <w:marRight w:val="0"/>
          <w:marTop w:val="0"/>
          <w:marBottom w:val="0"/>
          <w:divBdr>
            <w:top w:val="none" w:sz="0" w:space="0" w:color="auto"/>
            <w:left w:val="none" w:sz="0" w:space="0" w:color="auto"/>
            <w:bottom w:val="none" w:sz="0" w:space="0" w:color="auto"/>
            <w:right w:val="none" w:sz="0" w:space="0" w:color="auto"/>
          </w:divBdr>
        </w:div>
      </w:divsChild>
    </w:div>
    <w:div w:id="2028562103">
      <w:bodyDiv w:val="1"/>
      <w:marLeft w:val="0"/>
      <w:marRight w:val="0"/>
      <w:marTop w:val="0"/>
      <w:marBottom w:val="0"/>
      <w:divBdr>
        <w:top w:val="none" w:sz="0" w:space="0" w:color="auto"/>
        <w:left w:val="none" w:sz="0" w:space="0" w:color="auto"/>
        <w:bottom w:val="none" w:sz="0" w:space="0" w:color="auto"/>
        <w:right w:val="none" w:sz="0" w:space="0" w:color="auto"/>
      </w:divBdr>
      <w:divsChild>
        <w:div w:id="159738894">
          <w:marLeft w:val="0"/>
          <w:marRight w:val="0"/>
          <w:marTop w:val="0"/>
          <w:marBottom w:val="0"/>
          <w:divBdr>
            <w:top w:val="none" w:sz="0" w:space="0" w:color="auto"/>
            <w:left w:val="none" w:sz="0" w:space="0" w:color="auto"/>
            <w:bottom w:val="none" w:sz="0" w:space="0" w:color="auto"/>
            <w:right w:val="none" w:sz="0" w:space="0" w:color="auto"/>
          </w:divBdr>
        </w:div>
        <w:div w:id="338388654">
          <w:marLeft w:val="0"/>
          <w:marRight w:val="0"/>
          <w:marTop w:val="0"/>
          <w:marBottom w:val="0"/>
          <w:divBdr>
            <w:top w:val="none" w:sz="0" w:space="0" w:color="auto"/>
            <w:left w:val="none" w:sz="0" w:space="0" w:color="auto"/>
            <w:bottom w:val="none" w:sz="0" w:space="0" w:color="auto"/>
            <w:right w:val="none" w:sz="0" w:space="0" w:color="auto"/>
          </w:divBdr>
        </w:div>
        <w:div w:id="365758990">
          <w:marLeft w:val="0"/>
          <w:marRight w:val="0"/>
          <w:marTop w:val="0"/>
          <w:marBottom w:val="0"/>
          <w:divBdr>
            <w:top w:val="none" w:sz="0" w:space="0" w:color="auto"/>
            <w:left w:val="none" w:sz="0" w:space="0" w:color="auto"/>
            <w:bottom w:val="none" w:sz="0" w:space="0" w:color="auto"/>
            <w:right w:val="none" w:sz="0" w:space="0" w:color="auto"/>
          </w:divBdr>
        </w:div>
        <w:div w:id="413088971">
          <w:marLeft w:val="0"/>
          <w:marRight w:val="0"/>
          <w:marTop w:val="0"/>
          <w:marBottom w:val="0"/>
          <w:divBdr>
            <w:top w:val="none" w:sz="0" w:space="0" w:color="auto"/>
            <w:left w:val="none" w:sz="0" w:space="0" w:color="auto"/>
            <w:bottom w:val="none" w:sz="0" w:space="0" w:color="auto"/>
            <w:right w:val="none" w:sz="0" w:space="0" w:color="auto"/>
          </w:divBdr>
        </w:div>
        <w:div w:id="489173081">
          <w:marLeft w:val="0"/>
          <w:marRight w:val="0"/>
          <w:marTop w:val="0"/>
          <w:marBottom w:val="0"/>
          <w:divBdr>
            <w:top w:val="none" w:sz="0" w:space="0" w:color="auto"/>
            <w:left w:val="none" w:sz="0" w:space="0" w:color="auto"/>
            <w:bottom w:val="none" w:sz="0" w:space="0" w:color="auto"/>
            <w:right w:val="none" w:sz="0" w:space="0" w:color="auto"/>
          </w:divBdr>
        </w:div>
        <w:div w:id="656147820">
          <w:marLeft w:val="0"/>
          <w:marRight w:val="0"/>
          <w:marTop w:val="0"/>
          <w:marBottom w:val="0"/>
          <w:divBdr>
            <w:top w:val="none" w:sz="0" w:space="0" w:color="auto"/>
            <w:left w:val="none" w:sz="0" w:space="0" w:color="auto"/>
            <w:bottom w:val="none" w:sz="0" w:space="0" w:color="auto"/>
            <w:right w:val="none" w:sz="0" w:space="0" w:color="auto"/>
          </w:divBdr>
        </w:div>
        <w:div w:id="672877514">
          <w:marLeft w:val="0"/>
          <w:marRight w:val="0"/>
          <w:marTop w:val="0"/>
          <w:marBottom w:val="0"/>
          <w:divBdr>
            <w:top w:val="none" w:sz="0" w:space="0" w:color="auto"/>
            <w:left w:val="none" w:sz="0" w:space="0" w:color="auto"/>
            <w:bottom w:val="none" w:sz="0" w:space="0" w:color="auto"/>
            <w:right w:val="none" w:sz="0" w:space="0" w:color="auto"/>
          </w:divBdr>
        </w:div>
        <w:div w:id="844133910">
          <w:marLeft w:val="0"/>
          <w:marRight w:val="0"/>
          <w:marTop w:val="0"/>
          <w:marBottom w:val="0"/>
          <w:divBdr>
            <w:top w:val="none" w:sz="0" w:space="0" w:color="auto"/>
            <w:left w:val="none" w:sz="0" w:space="0" w:color="auto"/>
            <w:bottom w:val="none" w:sz="0" w:space="0" w:color="auto"/>
            <w:right w:val="none" w:sz="0" w:space="0" w:color="auto"/>
          </w:divBdr>
        </w:div>
        <w:div w:id="885416128">
          <w:marLeft w:val="0"/>
          <w:marRight w:val="0"/>
          <w:marTop w:val="0"/>
          <w:marBottom w:val="0"/>
          <w:divBdr>
            <w:top w:val="none" w:sz="0" w:space="0" w:color="auto"/>
            <w:left w:val="none" w:sz="0" w:space="0" w:color="auto"/>
            <w:bottom w:val="none" w:sz="0" w:space="0" w:color="auto"/>
            <w:right w:val="none" w:sz="0" w:space="0" w:color="auto"/>
          </w:divBdr>
        </w:div>
        <w:div w:id="969941527">
          <w:marLeft w:val="0"/>
          <w:marRight w:val="0"/>
          <w:marTop w:val="0"/>
          <w:marBottom w:val="0"/>
          <w:divBdr>
            <w:top w:val="none" w:sz="0" w:space="0" w:color="auto"/>
            <w:left w:val="none" w:sz="0" w:space="0" w:color="auto"/>
            <w:bottom w:val="none" w:sz="0" w:space="0" w:color="auto"/>
            <w:right w:val="none" w:sz="0" w:space="0" w:color="auto"/>
          </w:divBdr>
        </w:div>
        <w:div w:id="1039206540">
          <w:marLeft w:val="0"/>
          <w:marRight w:val="0"/>
          <w:marTop w:val="0"/>
          <w:marBottom w:val="0"/>
          <w:divBdr>
            <w:top w:val="none" w:sz="0" w:space="0" w:color="auto"/>
            <w:left w:val="none" w:sz="0" w:space="0" w:color="auto"/>
            <w:bottom w:val="none" w:sz="0" w:space="0" w:color="auto"/>
            <w:right w:val="none" w:sz="0" w:space="0" w:color="auto"/>
          </w:divBdr>
        </w:div>
        <w:div w:id="1078944744">
          <w:marLeft w:val="0"/>
          <w:marRight w:val="0"/>
          <w:marTop w:val="0"/>
          <w:marBottom w:val="0"/>
          <w:divBdr>
            <w:top w:val="none" w:sz="0" w:space="0" w:color="auto"/>
            <w:left w:val="none" w:sz="0" w:space="0" w:color="auto"/>
            <w:bottom w:val="none" w:sz="0" w:space="0" w:color="auto"/>
            <w:right w:val="none" w:sz="0" w:space="0" w:color="auto"/>
          </w:divBdr>
        </w:div>
        <w:div w:id="1177885985">
          <w:marLeft w:val="0"/>
          <w:marRight w:val="0"/>
          <w:marTop w:val="0"/>
          <w:marBottom w:val="0"/>
          <w:divBdr>
            <w:top w:val="none" w:sz="0" w:space="0" w:color="auto"/>
            <w:left w:val="none" w:sz="0" w:space="0" w:color="auto"/>
            <w:bottom w:val="none" w:sz="0" w:space="0" w:color="auto"/>
            <w:right w:val="none" w:sz="0" w:space="0" w:color="auto"/>
          </w:divBdr>
        </w:div>
        <w:div w:id="1246457698">
          <w:marLeft w:val="0"/>
          <w:marRight w:val="0"/>
          <w:marTop w:val="0"/>
          <w:marBottom w:val="0"/>
          <w:divBdr>
            <w:top w:val="none" w:sz="0" w:space="0" w:color="auto"/>
            <w:left w:val="none" w:sz="0" w:space="0" w:color="auto"/>
            <w:bottom w:val="none" w:sz="0" w:space="0" w:color="auto"/>
            <w:right w:val="none" w:sz="0" w:space="0" w:color="auto"/>
          </w:divBdr>
        </w:div>
        <w:div w:id="1275862590">
          <w:marLeft w:val="0"/>
          <w:marRight w:val="0"/>
          <w:marTop w:val="0"/>
          <w:marBottom w:val="0"/>
          <w:divBdr>
            <w:top w:val="none" w:sz="0" w:space="0" w:color="auto"/>
            <w:left w:val="none" w:sz="0" w:space="0" w:color="auto"/>
            <w:bottom w:val="none" w:sz="0" w:space="0" w:color="auto"/>
            <w:right w:val="none" w:sz="0" w:space="0" w:color="auto"/>
          </w:divBdr>
        </w:div>
        <w:div w:id="1297951199">
          <w:marLeft w:val="0"/>
          <w:marRight w:val="0"/>
          <w:marTop w:val="0"/>
          <w:marBottom w:val="0"/>
          <w:divBdr>
            <w:top w:val="none" w:sz="0" w:space="0" w:color="auto"/>
            <w:left w:val="none" w:sz="0" w:space="0" w:color="auto"/>
            <w:bottom w:val="none" w:sz="0" w:space="0" w:color="auto"/>
            <w:right w:val="none" w:sz="0" w:space="0" w:color="auto"/>
          </w:divBdr>
        </w:div>
        <w:div w:id="1412850402">
          <w:marLeft w:val="0"/>
          <w:marRight w:val="0"/>
          <w:marTop w:val="0"/>
          <w:marBottom w:val="0"/>
          <w:divBdr>
            <w:top w:val="none" w:sz="0" w:space="0" w:color="auto"/>
            <w:left w:val="none" w:sz="0" w:space="0" w:color="auto"/>
            <w:bottom w:val="none" w:sz="0" w:space="0" w:color="auto"/>
            <w:right w:val="none" w:sz="0" w:space="0" w:color="auto"/>
          </w:divBdr>
        </w:div>
        <w:div w:id="1422528875">
          <w:marLeft w:val="0"/>
          <w:marRight w:val="0"/>
          <w:marTop w:val="0"/>
          <w:marBottom w:val="0"/>
          <w:divBdr>
            <w:top w:val="none" w:sz="0" w:space="0" w:color="auto"/>
            <w:left w:val="none" w:sz="0" w:space="0" w:color="auto"/>
            <w:bottom w:val="none" w:sz="0" w:space="0" w:color="auto"/>
            <w:right w:val="none" w:sz="0" w:space="0" w:color="auto"/>
          </w:divBdr>
        </w:div>
        <w:div w:id="1459303956">
          <w:marLeft w:val="0"/>
          <w:marRight w:val="0"/>
          <w:marTop w:val="0"/>
          <w:marBottom w:val="0"/>
          <w:divBdr>
            <w:top w:val="none" w:sz="0" w:space="0" w:color="auto"/>
            <w:left w:val="none" w:sz="0" w:space="0" w:color="auto"/>
            <w:bottom w:val="none" w:sz="0" w:space="0" w:color="auto"/>
            <w:right w:val="none" w:sz="0" w:space="0" w:color="auto"/>
          </w:divBdr>
        </w:div>
        <w:div w:id="1510755751">
          <w:marLeft w:val="0"/>
          <w:marRight w:val="0"/>
          <w:marTop w:val="0"/>
          <w:marBottom w:val="0"/>
          <w:divBdr>
            <w:top w:val="none" w:sz="0" w:space="0" w:color="auto"/>
            <w:left w:val="none" w:sz="0" w:space="0" w:color="auto"/>
            <w:bottom w:val="none" w:sz="0" w:space="0" w:color="auto"/>
            <w:right w:val="none" w:sz="0" w:space="0" w:color="auto"/>
          </w:divBdr>
        </w:div>
        <w:div w:id="1518304288">
          <w:marLeft w:val="0"/>
          <w:marRight w:val="0"/>
          <w:marTop w:val="0"/>
          <w:marBottom w:val="0"/>
          <w:divBdr>
            <w:top w:val="none" w:sz="0" w:space="0" w:color="auto"/>
            <w:left w:val="none" w:sz="0" w:space="0" w:color="auto"/>
            <w:bottom w:val="none" w:sz="0" w:space="0" w:color="auto"/>
            <w:right w:val="none" w:sz="0" w:space="0" w:color="auto"/>
          </w:divBdr>
        </w:div>
        <w:div w:id="1556235331">
          <w:marLeft w:val="0"/>
          <w:marRight w:val="0"/>
          <w:marTop w:val="0"/>
          <w:marBottom w:val="0"/>
          <w:divBdr>
            <w:top w:val="none" w:sz="0" w:space="0" w:color="auto"/>
            <w:left w:val="none" w:sz="0" w:space="0" w:color="auto"/>
            <w:bottom w:val="none" w:sz="0" w:space="0" w:color="auto"/>
            <w:right w:val="none" w:sz="0" w:space="0" w:color="auto"/>
          </w:divBdr>
        </w:div>
        <w:div w:id="1580166497">
          <w:marLeft w:val="0"/>
          <w:marRight w:val="0"/>
          <w:marTop w:val="0"/>
          <w:marBottom w:val="0"/>
          <w:divBdr>
            <w:top w:val="none" w:sz="0" w:space="0" w:color="auto"/>
            <w:left w:val="none" w:sz="0" w:space="0" w:color="auto"/>
            <w:bottom w:val="none" w:sz="0" w:space="0" w:color="auto"/>
            <w:right w:val="none" w:sz="0" w:space="0" w:color="auto"/>
          </w:divBdr>
        </w:div>
        <w:div w:id="1662348607">
          <w:marLeft w:val="0"/>
          <w:marRight w:val="0"/>
          <w:marTop w:val="0"/>
          <w:marBottom w:val="0"/>
          <w:divBdr>
            <w:top w:val="none" w:sz="0" w:space="0" w:color="auto"/>
            <w:left w:val="none" w:sz="0" w:space="0" w:color="auto"/>
            <w:bottom w:val="none" w:sz="0" w:space="0" w:color="auto"/>
            <w:right w:val="none" w:sz="0" w:space="0" w:color="auto"/>
          </w:divBdr>
        </w:div>
        <w:div w:id="1726830290">
          <w:marLeft w:val="0"/>
          <w:marRight w:val="0"/>
          <w:marTop w:val="0"/>
          <w:marBottom w:val="0"/>
          <w:divBdr>
            <w:top w:val="none" w:sz="0" w:space="0" w:color="auto"/>
            <w:left w:val="none" w:sz="0" w:space="0" w:color="auto"/>
            <w:bottom w:val="none" w:sz="0" w:space="0" w:color="auto"/>
            <w:right w:val="none" w:sz="0" w:space="0" w:color="auto"/>
          </w:divBdr>
        </w:div>
        <w:div w:id="1783453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20c696-2255-41e4-bd4c-c1b126904da5" xsi:nil="true"/>
    <lcf76f155ced4ddcb4097134ff3c332f xmlns="0c016b1e-84fb-452b-b04b-a4af34832dd6">
      <Terms xmlns="http://schemas.microsoft.com/office/infopath/2007/PartnerControls"/>
    </lcf76f155ced4ddcb4097134ff3c332f>
    <SharedWithUsers xmlns="e820c696-2255-41e4-bd4c-c1b126904da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7637956472C44998C23ADECBD39C40" ma:contentTypeVersion="17" ma:contentTypeDescription="Create a new document." ma:contentTypeScope="" ma:versionID="882dc4af7419c1497c9d19c47a103f8f">
  <xsd:schema xmlns:xsd="http://www.w3.org/2001/XMLSchema" xmlns:xs="http://www.w3.org/2001/XMLSchema" xmlns:p="http://schemas.microsoft.com/office/2006/metadata/properties" xmlns:ns2="0c016b1e-84fb-452b-b04b-a4af34832dd6" xmlns:ns3="e820c696-2255-41e4-bd4c-c1b126904da5" targetNamespace="http://schemas.microsoft.com/office/2006/metadata/properties" ma:root="true" ma:fieldsID="dc17d375139d1b1bb1f7cc4a8779bb3c" ns2:_="" ns3:_="">
    <xsd:import namespace="0c016b1e-84fb-452b-b04b-a4af34832dd6"/>
    <xsd:import namespace="e820c696-2255-41e4-bd4c-c1b126904d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16b1e-84fb-452b-b04b-a4af34832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2e07e8-80e4-47d6-b5df-a3f0c84ea6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0c696-2255-41e4-bd4c-c1b126904d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3159ad-02fe-44fb-80ae-7e5676ac8adc}" ma:internalName="TaxCatchAll" ma:showField="CatchAllData" ma:web="e820c696-2255-41e4-bd4c-c1b126904da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035AC-103F-4131-A5E4-5E0E628BE605}">
  <ds:schemaRefs>
    <ds:schemaRef ds:uri="http://schemas.openxmlformats.org/officeDocument/2006/bibliography"/>
  </ds:schemaRefs>
</ds:datastoreItem>
</file>

<file path=customXml/itemProps2.xml><?xml version="1.0" encoding="utf-8"?>
<ds:datastoreItem xmlns:ds="http://schemas.openxmlformats.org/officeDocument/2006/customXml" ds:itemID="{03372D80-1552-472C-9D0D-60D129EAB4E8}">
  <ds:schemaRefs>
    <ds:schemaRef ds:uri="http://schemas.microsoft.com/sharepoint/v3/contenttype/forms"/>
  </ds:schemaRefs>
</ds:datastoreItem>
</file>

<file path=customXml/itemProps3.xml><?xml version="1.0" encoding="utf-8"?>
<ds:datastoreItem xmlns:ds="http://schemas.openxmlformats.org/officeDocument/2006/customXml" ds:itemID="{33BE6E60-BB2A-43D8-B655-84AFA662F38E}">
  <ds:schemaRefs>
    <ds:schemaRef ds:uri="e820c696-2255-41e4-bd4c-c1b126904da5"/>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 ds:uri="0c016b1e-84fb-452b-b04b-a4af34832dd6"/>
  </ds:schemaRefs>
</ds:datastoreItem>
</file>

<file path=customXml/itemProps4.xml><?xml version="1.0" encoding="utf-8"?>
<ds:datastoreItem xmlns:ds="http://schemas.openxmlformats.org/officeDocument/2006/customXml" ds:itemID="{7B7ADBDC-3289-4311-B505-FE87AE2B1BBB}"/>
</file>

<file path=docProps/app.xml><?xml version="1.0" encoding="utf-8"?>
<Properties xmlns="http://schemas.openxmlformats.org/officeDocument/2006/extended-properties" xmlns:vt="http://schemas.openxmlformats.org/officeDocument/2006/docPropsVTypes">
  <Template>Normal.dotm</Template>
  <TotalTime>97</TotalTime>
  <Pages>58</Pages>
  <Words>18939</Words>
  <Characters>115528</Characters>
  <Application>Microsoft Office Word</Application>
  <DocSecurity>0</DocSecurity>
  <Lines>2458</Lines>
  <Paragraphs>1792</Paragraphs>
  <ScaleCrop>false</ScaleCrop>
  <Company/>
  <LinksUpToDate>false</LinksUpToDate>
  <CharactersWithSpaces>132675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Hyde</dc:creator>
  <cp:keywords/>
  <dc:description/>
  <cp:lastModifiedBy>Jacob Lamb</cp:lastModifiedBy>
  <cp:revision>78</cp:revision>
  <cp:lastPrinted>2025-08-18T18:31:00Z</cp:lastPrinted>
  <dcterms:created xsi:type="dcterms:W3CDTF">2025-10-24T16:44:00Z</dcterms:created>
  <dcterms:modified xsi:type="dcterms:W3CDTF">2025-10-31T14:55:00Z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0x010100D77637956472C44998C23ADECBD39C40</vt:lpwstr>
  </property>
  <property fmtid="{D5CDD505-2E9C-101B-9397-08002B2CF9AE}" pid="3" name="MediaServiceImageTags">
    <vt:lpwstr/>
  </property>
  <property fmtid="{D5CDD505-2E9C-101B-9397-08002B2CF9AE}" pid="4" name="Order">
    <vt:r8>25800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2" name="docLang">
    <vt:lpwstr>en</vt:lpwstr>
  </property>
</Properties>
</file>